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0218" w14:textId="77777777" w:rsidR="009F085B" w:rsidRPr="006615A2" w:rsidRDefault="00610AE3" w:rsidP="00610AE3">
      <w:pPr>
        <w:spacing w:after="0" w:line="240" w:lineRule="auto"/>
        <w:jc w:val="both"/>
        <w:rPr>
          <w:rFonts w:cs="Times New Roman"/>
        </w:rPr>
      </w:pPr>
      <w:r w:rsidRPr="006615A2">
        <w:rPr>
          <w:rFonts w:cs="Times New Roman"/>
        </w:rPr>
        <w:t>This document was provided by the University of California, Office of the President (UCOP) and applies only to Faculty Administrators covered by the following Academic Personnel policies:</w:t>
      </w:r>
    </w:p>
    <w:p w14:paraId="6B4F3B3E" w14:textId="77777777" w:rsidR="00610AE3" w:rsidRDefault="00CB0EB9" w:rsidP="00610AE3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="Times New Roman"/>
          <w:bCs/>
          <w:color w:val="1F497D"/>
        </w:rPr>
      </w:pPr>
      <w:hyperlink r:id="rId8" w:history="1">
        <w:r w:rsidR="00610AE3" w:rsidRPr="00610AE3">
          <w:rPr>
            <w:rStyle w:val="Hyperlink"/>
            <w:rFonts w:eastAsia="Times New Roman" w:cs="Times New Roman"/>
            <w:bCs/>
          </w:rPr>
          <w:t>APM 241</w:t>
        </w:r>
      </w:hyperlink>
      <w:r w:rsidR="00610AE3">
        <w:rPr>
          <w:rFonts w:eastAsia="Times New Roman" w:cs="Times New Roman"/>
          <w:bCs/>
          <w:color w:val="1F497D"/>
        </w:rPr>
        <w:t xml:space="preserve"> – Faculty Administrators (Positions less than 100%)</w:t>
      </w:r>
    </w:p>
    <w:p w14:paraId="59A0A259" w14:textId="77777777" w:rsidR="00610AE3" w:rsidRDefault="00CB0EB9" w:rsidP="00610AE3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="Times New Roman"/>
          <w:bCs/>
          <w:color w:val="1F497D"/>
        </w:rPr>
      </w:pPr>
      <w:hyperlink r:id="rId9" w:history="1">
        <w:r w:rsidR="00610AE3" w:rsidRPr="00610AE3">
          <w:rPr>
            <w:rStyle w:val="Hyperlink"/>
            <w:rFonts w:eastAsia="Times New Roman" w:cs="Times New Roman"/>
            <w:bCs/>
          </w:rPr>
          <w:t>APM 245</w:t>
        </w:r>
      </w:hyperlink>
      <w:r w:rsidR="00610AE3">
        <w:rPr>
          <w:rFonts w:eastAsia="Times New Roman" w:cs="Times New Roman"/>
          <w:bCs/>
          <w:color w:val="1F497D"/>
        </w:rPr>
        <w:t xml:space="preserve"> – Department Chairs</w:t>
      </w:r>
    </w:p>
    <w:p w14:paraId="02810EAC" w14:textId="77777777" w:rsidR="00610AE3" w:rsidRDefault="00CB0EB9" w:rsidP="00610AE3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="Times New Roman"/>
          <w:bCs/>
          <w:color w:val="1F497D"/>
        </w:rPr>
      </w:pPr>
      <w:hyperlink r:id="rId10" w:history="1">
        <w:r w:rsidR="00610AE3" w:rsidRPr="00610AE3">
          <w:rPr>
            <w:rStyle w:val="Hyperlink"/>
            <w:rFonts w:eastAsia="Times New Roman" w:cs="Times New Roman"/>
            <w:bCs/>
          </w:rPr>
          <w:t>APM 246</w:t>
        </w:r>
      </w:hyperlink>
      <w:r w:rsidR="00610AE3">
        <w:rPr>
          <w:rFonts w:eastAsia="Times New Roman" w:cs="Times New Roman"/>
          <w:bCs/>
          <w:color w:val="1F497D"/>
        </w:rPr>
        <w:t xml:space="preserve"> – Faculty Administrators (100% Time)</w:t>
      </w:r>
    </w:p>
    <w:p w14:paraId="2C1C83E6" w14:textId="77777777" w:rsidR="00610AE3" w:rsidRDefault="00CB0EB9" w:rsidP="00610AE3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="Times New Roman"/>
          <w:bCs/>
          <w:color w:val="1F497D"/>
        </w:rPr>
      </w:pPr>
      <w:hyperlink r:id="rId11" w:history="1">
        <w:r w:rsidR="00610AE3" w:rsidRPr="00610AE3">
          <w:rPr>
            <w:rStyle w:val="Hyperlink"/>
            <w:rFonts w:eastAsia="Times New Roman" w:cs="Times New Roman"/>
            <w:bCs/>
          </w:rPr>
          <w:t>APM 633</w:t>
        </w:r>
      </w:hyperlink>
      <w:r w:rsidR="00610AE3">
        <w:rPr>
          <w:rFonts w:eastAsia="Times New Roman" w:cs="Times New Roman"/>
          <w:bCs/>
          <w:color w:val="1F497D"/>
        </w:rPr>
        <w:t xml:space="preserve"> – Administrative Stipends:  Academic Appointees</w:t>
      </w:r>
    </w:p>
    <w:p w14:paraId="5CFCD6DD" w14:textId="77777777" w:rsidR="00610AE3" w:rsidRPr="00610AE3" w:rsidRDefault="00610AE3" w:rsidP="00610AE3">
      <w:pPr>
        <w:spacing w:after="0" w:line="240" w:lineRule="auto"/>
        <w:rPr>
          <w:rFonts w:eastAsia="Times New Roman" w:cs="Times New Roman"/>
          <w:bCs/>
          <w:color w:val="1F497D"/>
        </w:rPr>
      </w:pPr>
    </w:p>
    <w:p w14:paraId="6ACBB1A0" w14:textId="77777777" w:rsidR="00610AE3" w:rsidRDefault="00610AE3" w:rsidP="006615A2">
      <w:pPr>
        <w:pStyle w:val="Heading2"/>
      </w:pPr>
      <w:r>
        <w:t xml:space="preserve">Eligibility </w:t>
      </w:r>
    </w:p>
    <w:p w14:paraId="236A430F" w14:textId="77777777" w:rsidR="00610AE3" w:rsidRDefault="00610AE3" w:rsidP="006615A2">
      <w:pPr>
        <w:pStyle w:val="ListParagraph"/>
        <w:numPr>
          <w:ilvl w:val="0"/>
          <w:numId w:val="38"/>
        </w:numPr>
        <w:spacing w:after="9" w:line="269" w:lineRule="auto"/>
        <w:jc w:val="both"/>
      </w:pPr>
      <w:r>
        <w:t xml:space="preserve">Are the titles listed in APM-241-4 and APM-246-4 the only titles that may be considered “faculty administrator” titles? </w:t>
      </w:r>
    </w:p>
    <w:p w14:paraId="3E9B5AB6" w14:textId="77777777" w:rsidR="00610AE3" w:rsidRPr="006615A2" w:rsidRDefault="00610AE3" w:rsidP="006627DE">
      <w:pPr>
        <w:ind w:left="355" w:firstLine="365"/>
        <w:jc w:val="both"/>
        <w:rPr>
          <w:i/>
          <w:color w:val="548DD4" w:themeColor="text2" w:themeTint="99"/>
        </w:rPr>
      </w:pPr>
      <w:r w:rsidRPr="006615A2">
        <w:rPr>
          <w:i/>
          <w:color w:val="548DD4" w:themeColor="text2" w:themeTint="99"/>
        </w:rPr>
        <w:t xml:space="preserve">No. Chancellors may designate additional eligible titles as appropriate. </w:t>
      </w:r>
    </w:p>
    <w:p w14:paraId="68F3BDCC" w14:textId="77777777" w:rsidR="00610AE3" w:rsidRDefault="00610AE3" w:rsidP="006615A2">
      <w:pPr>
        <w:pStyle w:val="ListParagraph"/>
        <w:numPr>
          <w:ilvl w:val="0"/>
          <w:numId w:val="38"/>
        </w:numPr>
        <w:spacing w:after="16" w:line="259" w:lineRule="auto"/>
        <w:jc w:val="both"/>
      </w:pPr>
      <w:r>
        <w:t xml:space="preserve">Are Faculty Administrators paid via the Health Sciences Compensation Plan (HSCP) covered by APM-241 and -246? </w:t>
      </w:r>
    </w:p>
    <w:p w14:paraId="69C53876" w14:textId="77777777" w:rsidR="00610AE3" w:rsidRPr="006615A2" w:rsidRDefault="00610AE3" w:rsidP="006627DE">
      <w:pPr>
        <w:spacing w:after="210"/>
        <w:ind w:left="355" w:firstLine="365"/>
        <w:jc w:val="both"/>
        <w:rPr>
          <w:color w:val="548DD4" w:themeColor="text2" w:themeTint="99"/>
        </w:rPr>
      </w:pPr>
      <w:r w:rsidRPr="006615A2">
        <w:rPr>
          <w:i/>
          <w:color w:val="548DD4" w:themeColor="text2" w:themeTint="99"/>
        </w:rPr>
        <w:t>Yes</w:t>
      </w:r>
      <w:r w:rsidRPr="006615A2">
        <w:rPr>
          <w:color w:val="548DD4" w:themeColor="text2" w:themeTint="99"/>
        </w:rPr>
        <w:t xml:space="preserve">.  </w:t>
      </w:r>
    </w:p>
    <w:p w14:paraId="4E1402A6" w14:textId="77777777" w:rsidR="00610AE3" w:rsidRDefault="00610AE3" w:rsidP="006615A2">
      <w:pPr>
        <w:pStyle w:val="Heading2"/>
      </w:pPr>
      <w:r>
        <w:t xml:space="preserve">Compensation </w:t>
      </w:r>
    </w:p>
    <w:p w14:paraId="70B676D7" w14:textId="77777777" w:rsidR="00610AE3" w:rsidRDefault="00610AE3" w:rsidP="006615A2">
      <w:pPr>
        <w:pStyle w:val="ListParagraph"/>
        <w:numPr>
          <w:ilvl w:val="0"/>
          <w:numId w:val="38"/>
        </w:numPr>
        <w:spacing w:after="9" w:line="269" w:lineRule="auto"/>
        <w:jc w:val="both"/>
      </w:pPr>
      <w:r>
        <w:t xml:space="preserve">How are Faculty Administrators compensated for their work? </w:t>
      </w:r>
    </w:p>
    <w:p w14:paraId="22F9FC76" w14:textId="77777777" w:rsidR="00610AE3" w:rsidRPr="006615A2" w:rsidRDefault="00610AE3" w:rsidP="006627DE">
      <w:pPr>
        <w:ind w:left="715" w:firstLine="5"/>
        <w:jc w:val="both"/>
        <w:rPr>
          <w:i/>
          <w:color w:val="548DD4" w:themeColor="text2" w:themeTint="99"/>
        </w:rPr>
      </w:pPr>
      <w:r w:rsidRPr="00CB0EB9">
        <w:rPr>
          <w:i/>
          <w:color w:val="548DD4" w:themeColor="text2" w:themeTint="99"/>
          <w:shd w:val="clear" w:color="auto" w:fill="FFFF00"/>
        </w:rPr>
        <w:t>Faculty Administrators may be paid with either a unit salary or a professorial base salary</w:t>
      </w:r>
      <w:r w:rsidRPr="00CB0EB9">
        <w:rPr>
          <w:i/>
          <w:color w:val="548DD4" w:themeColor="text2" w:themeTint="99"/>
        </w:rPr>
        <w:t xml:space="preserve"> </w:t>
      </w:r>
      <w:r w:rsidRPr="00CB0EB9">
        <w:rPr>
          <w:i/>
          <w:color w:val="548DD4" w:themeColor="text2" w:themeTint="99"/>
          <w:shd w:val="clear" w:color="auto" w:fill="FFFF00"/>
        </w:rPr>
        <w:t>plus a stipend.  Additional summer compensation also is allowed when appropriate.</w:t>
      </w:r>
      <w:r w:rsidRPr="006615A2">
        <w:rPr>
          <w:i/>
          <w:color w:val="548DD4" w:themeColor="text2" w:themeTint="99"/>
        </w:rPr>
        <w:t xml:space="preserve"> </w:t>
      </w:r>
    </w:p>
    <w:p w14:paraId="6B56F323" w14:textId="3A093394" w:rsidR="006615A2" w:rsidRDefault="00610AE3" w:rsidP="006615A2">
      <w:pPr>
        <w:spacing w:after="7" w:line="267" w:lineRule="auto"/>
        <w:ind w:left="715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006FC0"/>
        </w:rPr>
        <w:t xml:space="preserve">UCR has adopted the use of unit salaries for all full-time faculty administrators. </w:t>
      </w:r>
    </w:p>
    <w:p w14:paraId="01BA6F5E" w14:textId="77777777" w:rsidR="00610AE3" w:rsidRDefault="00610AE3" w:rsidP="006615A2">
      <w:pPr>
        <w:spacing w:after="7" w:line="267" w:lineRule="auto"/>
        <w:ind w:left="715"/>
        <w:jc w:val="both"/>
      </w:pPr>
      <w:r>
        <w:t xml:space="preserve"> </w:t>
      </w:r>
    </w:p>
    <w:p w14:paraId="684F211E" w14:textId="77777777" w:rsidR="00610AE3" w:rsidRPr="006615A2" w:rsidRDefault="00610AE3" w:rsidP="003A25FC">
      <w:pPr>
        <w:numPr>
          <w:ilvl w:val="0"/>
          <w:numId w:val="38"/>
        </w:numPr>
        <w:spacing w:after="9" w:line="269" w:lineRule="auto"/>
      </w:pPr>
      <w:r w:rsidRPr="006615A2">
        <w:t xml:space="preserve">Will campuses be provided information to assist them in making equity or appointment salary decisions regarding Faculty Administrators? </w:t>
      </w:r>
    </w:p>
    <w:p w14:paraId="3EB6700A" w14:textId="77777777" w:rsidR="00610AE3" w:rsidRPr="006615A2" w:rsidRDefault="00610AE3" w:rsidP="006627DE">
      <w:pPr>
        <w:ind w:left="720"/>
        <w:rPr>
          <w:i/>
          <w:color w:val="548DD4" w:themeColor="text2" w:themeTint="99"/>
        </w:rPr>
      </w:pPr>
      <w:r w:rsidRPr="006615A2">
        <w:rPr>
          <w:i/>
          <w:color w:val="548DD4" w:themeColor="text2" w:themeTint="99"/>
        </w:rPr>
        <w:t xml:space="preserve">Campuses may contact UCOP Academic Personnel for annual salary information for fulltime Faculty Administrators.  </w:t>
      </w:r>
    </w:p>
    <w:p w14:paraId="77F50EF0" w14:textId="77777777" w:rsidR="00610AE3" w:rsidRPr="006615A2" w:rsidRDefault="00610AE3" w:rsidP="006615A2">
      <w:pPr>
        <w:pStyle w:val="ListParagraph"/>
        <w:numPr>
          <w:ilvl w:val="0"/>
          <w:numId w:val="38"/>
        </w:numPr>
        <w:spacing w:after="16" w:line="259" w:lineRule="auto"/>
        <w:jc w:val="both"/>
      </w:pPr>
      <w:r w:rsidRPr="006615A2">
        <w:t xml:space="preserve">Why is the research 1/12 payment for a full-time Faculty Administrator with an underlying academic-year </w:t>
      </w:r>
      <w:r w:rsidRPr="00CB0EB9">
        <w:t>appointment restricted to the summer?</w:t>
      </w:r>
      <w:r w:rsidRPr="006615A2">
        <w:t xml:space="preserve"> </w:t>
      </w:r>
    </w:p>
    <w:p w14:paraId="0F4B0F31" w14:textId="5E5BF8F8" w:rsidR="00610AE3" w:rsidRPr="006615A2" w:rsidRDefault="00610AE3" w:rsidP="006627DE">
      <w:pPr>
        <w:ind w:left="720"/>
        <w:jc w:val="both"/>
        <w:rPr>
          <w:i/>
          <w:color w:val="FF0000"/>
        </w:rPr>
      </w:pPr>
      <w:r w:rsidRPr="006615A2">
        <w:rPr>
          <w:i/>
          <w:color w:val="548DD4" w:themeColor="text2" w:themeTint="99"/>
        </w:rPr>
        <w:t>As administrative duties are likely most demanding during the academic year, it is reasonable to expect that resear</w:t>
      </w:r>
      <w:r w:rsidR="003A25FC" w:rsidRPr="006615A2">
        <w:rPr>
          <w:i/>
          <w:color w:val="548DD4" w:themeColor="text2" w:themeTint="99"/>
        </w:rPr>
        <w:t xml:space="preserve">ch in lieu of vacation would be </w:t>
      </w:r>
      <w:r w:rsidRPr="006615A2">
        <w:rPr>
          <w:i/>
          <w:color w:val="548DD4" w:themeColor="text2" w:themeTint="99"/>
        </w:rPr>
        <w:t>condu</w:t>
      </w:r>
      <w:r w:rsidR="00CB0EB9">
        <w:rPr>
          <w:i/>
          <w:color w:val="548DD4" w:themeColor="text2" w:themeTint="99"/>
        </w:rPr>
        <w:t xml:space="preserve">cted during the summer period. </w:t>
      </w:r>
    </w:p>
    <w:p w14:paraId="4D9283F8" w14:textId="77777777" w:rsidR="00610AE3" w:rsidRPr="006615A2" w:rsidRDefault="003A25FC" w:rsidP="006615A2">
      <w:pPr>
        <w:pStyle w:val="ListParagraph"/>
        <w:numPr>
          <w:ilvl w:val="0"/>
          <w:numId w:val="38"/>
        </w:numPr>
        <w:spacing w:after="25" w:line="259" w:lineRule="auto"/>
        <w:jc w:val="both"/>
      </w:pPr>
      <w:r w:rsidRPr="006615A2">
        <w:t>H</w:t>
      </w:r>
      <w:r w:rsidR="00610AE3" w:rsidRPr="006615A2">
        <w:t xml:space="preserve">ow much vacation must be used for a 1/12 summer research payment? </w:t>
      </w:r>
    </w:p>
    <w:p w14:paraId="08DDB1A4" w14:textId="77777777" w:rsidR="00610AE3" w:rsidRPr="006615A2" w:rsidRDefault="00610AE3" w:rsidP="006627DE">
      <w:pPr>
        <w:ind w:left="355" w:firstLine="365"/>
        <w:jc w:val="both"/>
        <w:rPr>
          <w:i/>
          <w:color w:val="548DD4" w:themeColor="text2" w:themeTint="99"/>
        </w:rPr>
      </w:pPr>
      <w:r w:rsidRPr="006615A2">
        <w:rPr>
          <w:i/>
          <w:color w:val="548DD4" w:themeColor="text2" w:themeTint="99"/>
        </w:rPr>
        <w:t xml:space="preserve">It depends on the number of working hours in the month in which the payment is made. </w:t>
      </w:r>
    </w:p>
    <w:p w14:paraId="3BF48D50" w14:textId="77777777" w:rsidR="00610AE3" w:rsidRPr="006615A2" w:rsidRDefault="00610AE3" w:rsidP="006615A2">
      <w:pPr>
        <w:ind w:left="355"/>
        <w:jc w:val="both"/>
      </w:pPr>
      <w:r w:rsidRPr="006615A2">
        <w:t xml:space="preserve">Refer to your campus payroll calendar for the appropriate number.   </w:t>
      </w:r>
    </w:p>
    <w:p w14:paraId="2FDDFA66" w14:textId="77777777" w:rsidR="00610AE3" w:rsidRPr="006615A2" w:rsidRDefault="00610AE3" w:rsidP="006615A2">
      <w:pPr>
        <w:spacing w:after="7" w:line="267" w:lineRule="auto"/>
        <w:ind w:left="715"/>
        <w:jc w:val="both"/>
      </w:pPr>
      <w:r w:rsidRPr="006615A2">
        <w:rPr>
          <w:rFonts w:eastAsia="Times New Roman" w:cs="Times New Roman"/>
          <w:i/>
          <w:color w:val="006FC0"/>
        </w:rPr>
        <w:t xml:space="preserve">APM 246-20 c(4) also provides that full time faculty administrators may engage in compensated outside professional activity for up to 12 workdays per fiscal year without deducting them from his/her vacation leave balance. </w:t>
      </w:r>
    </w:p>
    <w:p w14:paraId="71DBE7B4" w14:textId="7F9E9BCD" w:rsidR="00610AE3" w:rsidRDefault="00610AE3" w:rsidP="00610AE3">
      <w:pPr>
        <w:spacing w:after="15" w:line="259" w:lineRule="auto"/>
        <w:ind w:left="720"/>
      </w:pPr>
      <w:r w:rsidRPr="006615A2">
        <w:t xml:space="preserve"> </w:t>
      </w:r>
    </w:p>
    <w:p w14:paraId="02CC0548" w14:textId="77777777" w:rsidR="00CB0EB9" w:rsidRPr="006615A2" w:rsidRDefault="00CB0EB9" w:rsidP="00610AE3">
      <w:pPr>
        <w:spacing w:after="15" w:line="259" w:lineRule="auto"/>
        <w:ind w:left="720"/>
      </w:pPr>
    </w:p>
    <w:p w14:paraId="1C54DDA1" w14:textId="77777777" w:rsidR="00610AE3" w:rsidRDefault="00610AE3" w:rsidP="006615A2">
      <w:pPr>
        <w:numPr>
          <w:ilvl w:val="0"/>
          <w:numId w:val="38"/>
        </w:numPr>
        <w:spacing w:after="41" w:line="269" w:lineRule="auto"/>
        <w:jc w:val="both"/>
      </w:pPr>
      <w:r>
        <w:t xml:space="preserve">What DOS codes should be used for 1/12 summer research payments and for 1/12 summer teaching payments? </w:t>
      </w:r>
    </w:p>
    <w:p w14:paraId="7EC71910" w14:textId="77777777" w:rsidR="00610AE3" w:rsidRPr="006615A2" w:rsidRDefault="00610AE3" w:rsidP="006627DE">
      <w:pPr>
        <w:spacing w:after="38"/>
        <w:ind w:left="720"/>
        <w:jc w:val="both"/>
        <w:rPr>
          <w:color w:val="548DD4" w:themeColor="text2" w:themeTint="99"/>
        </w:rPr>
      </w:pPr>
      <w:r w:rsidRPr="006615A2">
        <w:rPr>
          <w:color w:val="548DD4" w:themeColor="text2" w:themeTint="99"/>
        </w:rPr>
        <w:t>DOS code AFR should be used for 1/12</w:t>
      </w:r>
      <w:r w:rsidR="003A25FC" w:rsidRPr="006615A2">
        <w:rPr>
          <w:color w:val="548DD4" w:themeColor="text2" w:themeTint="99"/>
          <w:vertAlign w:val="superscript"/>
        </w:rPr>
        <w:t xml:space="preserve"> </w:t>
      </w:r>
      <w:r w:rsidRPr="006615A2">
        <w:rPr>
          <w:color w:val="548DD4" w:themeColor="text2" w:themeTint="99"/>
        </w:rPr>
        <w:t xml:space="preserve">summer research payments and SST should be used for summer teaching payments.  </w:t>
      </w:r>
    </w:p>
    <w:p w14:paraId="37198821" w14:textId="77777777" w:rsidR="00610AE3" w:rsidRDefault="00610AE3" w:rsidP="006615A2">
      <w:pPr>
        <w:spacing w:after="0" w:line="259" w:lineRule="auto"/>
        <w:ind w:left="360"/>
        <w:jc w:val="both"/>
      </w:pPr>
      <w:r>
        <w:t xml:space="preserve"> </w:t>
      </w:r>
    </w:p>
    <w:p w14:paraId="698823A4" w14:textId="336EA4D0" w:rsidR="00610AE3" w:rsidRDefault="00610AE3" w:rsidP="006615A2">
      <w:pPr>
        <w:numPr>
          <w:ilvl w:val="0"/>
          <w:numId w:val="38"/>
        </w:numPr>
        <w:spacing w:after="9" w:line="269" w:lineRule="auto"/>
        <w:jc w:val="both"/>
      </w:pPr>
      <w:r>
        <w:t xml:space="preserve">What </w:t>
      </w:r>
      <w:r w:rsidR="00F1637E">
        <w:t xml:space="preserve">Earn </w:t>
      </w:r>
      <w:r>
        <w:t xml:space="preserve">code should be used for part-time Faculty Administrators who receive additional summer compensation for administrative service? </w:t>
      </w:r>
    </w:p>
    <w:p w14:paraId="26CC39A0" w14:textId="77777777" w:rsidR="00610AE3" w:rsidRDefault="00610AE3" w:rsidP="006615A2">
      <w:pPr>
        <w:spacing w:after="19" w:line="259" w:lineRule="auto"/>
        <w:ind w:left="360"/>
        <w:jc w:val="both"/>
      </w:pPr>
      <w:r>
        <w:rPr>
          <w:strike/>
          <w:color w:val="FF0000"/>
        </w:rPr>
        <w:t>A:  DOS code ACA should be used.</w:t>
      </w:r>
      <w:r>
        <w:rPr>
          <w:color w:val="FF0000"/>
        </w:rPr>
        <w:t xml:space="preserve"> </w:t>
      </w:r>
    </w:p>
    <w:p w14:paraId="03CB69F3" w14:textId="09AA3FAD" w:rsidR="00610AE3" w:rsidRDefault="00610AE3" w:rsidP="006615A2">
      <w:pPr>
        <w:spacing w:after="7" w:line="267" w:lineRule="auto"/>
        <w:ind w:left="715"/>
        <w:jc w:val="both"/>
      </w:pPr>
      <w:r>
        <w:rPr>
          <w:rFonts w:ascii="Times New Roman" w:eastAsia="Times New Roman" w:hAnsi="Times New Roman" w:cs="Times New Roman"/>
          <w:i/>
          <w:color w:val="006FC0"/>
        </w:rPr>
        <w:t xml:space="preserve">At UCR </w:t>
      </w:r>
      <w:r w:rsidR="00F1637E">
        <w:rPr>
          <w:rFonts w:ascii="Times New Roman" w:eastAsia="Times New Roman" w:hAnsi="Times New Roman" w:cs="Times New Roman"/>
          <w:i/>
          <w:color w:val="006FC0"/>
        </w:rPr>
        <w:t xml:space="preserve">Earn </w:t>
      </w:r>
      <w:r>
        <w:rPr>
          <w:rFonts w:ascii="Times New Roman" w:eastAsia="Times New Roman" w:hAnsi="Times New Roman" w:cs="Times New Roman"/>
          <w:i/>
          <w:color w:val="006FC0"/>
        </w:rPr>
        <w:t>code DIF is used. We have written documentation from UCOP that the UCR process is correct and have asked UCOP to modify this advice.</w:t>
      </w:r>
      <w:r>
        <w:t xml:space="preserve"> </w:t>
      </w:r>
    </w:p>
    <w:p w14:paraId="2DAC32F2" w14:textId="77777777" w:rsidR="00610AE3" w:rsidRDefault="00610AE3" w:rsidP="006615A2">
      <w:pPr>
        <w:spacing w:after="16" w:line="259" w:lineRule="auto"/>
        <w:ind w:left="720"/>
        <w:jc w:val="both"/>
      </w:pPr>
      <w:r>
        <w:t xml:space="preserve"> </w:t>
      </w:r>
    </w:p>
    <w:p w14:paraId="422B3313" w14:textId="77777777" w:rsidR="00610AE3" w:rsidRDefault="00610AE3" w:rsidP="006615A2">
      <w:pPr>
        <w:numPr>
          <w:ilvl w:val="0"/>
          <w:numId w:val="38"/>
        </w:numPr>
        <w:spacing w:after="9" w:line="269" w:lineRule="auto"/>
        <w:jc w:val="both"/>
      </w:pPr>
      <w:r>
        <w:t xml:space="preserve">Should a stipend or unit salary be used to compensate an Acting or Interim Faculty Administrator? </w:t>
      </w:r>
    </w:p>
    <w:p w14:paraId="0E532C7B" w14:textId="77777777" w:rsidR="00610AE3" w:rsidRPr="006615A2" w:rsidRDefault="00610AE3" w:rsidP="006627DE">
      <w:pPr>
        <w:ind w:left="715"/>
        <w:jc w:val="both"/>
        <w:rPr>
          <w:i/>
          <w:color w:val="548DD4" w:themeColor="text2" w:themeTint="99"/>
        </w:rPr>
      </w:pPr>
      <w:r w:rsidRPr="006615A2">
        <w:rPr>
          <w:i/>
          <w:color w:val="548DD4" w:themeColor="text2" w:themeTint="99"/>
        </w:rPr>
        <w:t xml:space="preserve">Compensation for an Acting or Interim Faculty Administrator shall be structured in accordance with normal campus practice, but most often is composed of the individual’s current faculty salary, plus a stipend. </w:t>
      </w:r>
    </w:p>
    <w:p w14:paraId="27DE3696" w14:textId="5486F025" w:rsidR="00610AE3" w:rsidRDefault="00610AE3" w:rsidP="006615A2">
      <w:pPr>
        <w:spacing w:after="7" w:line="267" w:lineRule="auto"/>
        <w:ind w:left="715"/>
        <w:jc w:val="both"/>
      </w:pPr>
      <w:r>
        <w:rPr>
          <w:rFonts w:ascii="Times New Roman" w:eastAsia="Times New Roman" w:hAnsi="Times New Roman" w:cs="Times New Roman"/>
          <w:i/>
          <w:color w:val="006FC0"/>
        </w:rPr>
        <w:t xml:space="preserve">Summer differential payments equivalent to ninths may also be appropriate, depending upon the start date and duration of the interim appointment. </w:t>
      </w:r>
    </w:p>
    <w:p w14:paraId="12E0F269" w14:textId="77777777" w:rsidR="00610AE3" w:rsidRDefault="00610AE3" w:rsidP="006615A2">
      <w:pPr>
        <w:spacing w:after="16" w:line="259" w:lineRule="auto"/>
        <w:ind w:left="360"/>
        <w:jc w:val="both"/>
      </w:pPr>
      <w:r>
        <w:rPr>
          <w:color w:val="006FC0"/>
        </w:rPr>
        <w:t xml:space="preserve"> </w:t>
      </w:r>
    </w:p>
    <w:p w14:paraId="5AC0586C" w14:textId="77777777" w:rsidR="003A25FC" w:rsidRDefault="00610AE3" w:rsidP="006615A2">
      <w:pPr>
        <w:numPr>
          <w:ilvl w:val="0"/>
          <w:numId w:val="38"/>
        </w:numPr>
        <w:spacing w:after="9" w:line="269" w:lineRule="auto"/>
        <w:jc w:val="both"/>
      </w:pPr>
      <w:r>
        <w:t xml:space="preserve">Can a Faculty Administrator be paid a stipend in addition to his/her administrative salary? </w:t>
      </w:r>
    </w:p>
    <w:p w14:paraId="200CFC81" w14:textId="678B5117" w:rsidR="00610AE3" w:rsidRPr="006615A2" w:rsidRDefault="00610AE3" w:rsidP="006627DE">
      <w:pPr>
        <w:spacing w:after="9" w:line="269" w:lineRule="auto"/>
        <w:ind w:left="720"/>
        <w:jc w:val="both"/>
        <w:rPr>
          <w:i/>
          <w:color w:val="548DD4" w:themeColor="text2" w:themeTint="99"/>
        </w:rPr>
      </w:pPr>
      <w:r w:rsidRPr="006615A2">
        <w:rPr>
          <w:i/>
          <w:color w:val="548DD4" w:themeColor="text2" w:themeTint="99"/>
        </w:rPr>
        <w:t xml:space="preserve">Yes. In exceptional circumstances, a full-time Faculty Administrator may be paid a stipend for assuming an additional temporary (one quarter/semester or longer) administrative role. </w:t>
      </w:r>
      <w:r w:rsidRPr="006615A2">
        <w:rPr>
          <w:i/>
          <w:color w:val="548DD4" w:themeColor="text2" w:themeTint="99"/>
          <w:shd w:val="clear" w:color="auto" w:fill="FFFF00"/>
        </w:rPr>
        <w:t>Dual stipends for part-time Faculty Administrators are not generally allowed though an</w:t>
      </w:r>
      <w:r w:rsidRPr="006615A2">
        <w:rPr>
          <w:i/>
          <w:color w:val="548DD4" w:themeColor="text2" w:themeTint="99"/>
        </w:rPr>
        <w:t xml:space="preserve"> </w:t>
      </w:r>
      <w:r w:rsidRPr="006615A2">
        <w:rPr>
          <w:i/>
          <w:color w:val="548DD4" w:themeColor="text2" w:themeTint="99"/>
          <w:shd w:val="clear" w:color="auto" w:fill="FFFF00"/>
        </w:rPr>
        <w:t>existing stipend may be increased if additional significant duties are assumed</w:t>
      </w:r>
      <w:r w:rsidRPr="006615A2">
        <w:rPr>
          <w:i/>
          <w:color w:val="548DD4" w:themeColor="text2" w:themeTint="99"/>
        </w:rPr>
        <w:t xml:space="preserve">.  </w:t>
      </w:r>
    </w:p>
    <w:p w14:paraId="2D3FAF77" w14:textId="77777777" w:rsidR="00610AE3" w:rsidRDefault="00610AE3" w:rsidP="006615A2">
      <w:pPr>
        <w:spacing w:after="19" w:line="259" w:lineRule="auto"/>
        <w:ind w:left="720"/>
        <w:jc w:val="both"/>
      </w:pPr>
      <w:r>
        <w:t xml:space="preserve"> </w:t>
      </w:r>
    </w:p>
    <w:p w14:paraId="7F3B3075" w14:textId="77777777" w:rsidR="00610AE3" w:rsidRDefault="00610AE3" w:rsidP="006615A2">
      <w:pPr>
        <w:numPr>
          <w:ilvl w:val="0"/>
          <w:numId w:val="38"/>
        </w:numPr>
        <w:spacing w:after="9" w:line="269" w:lineRule="auto"/>
        <w:jc w:val="both"/>
      </w:pPr>
      <w:r>
        <w:t>Can a stipend be paid to a faculty member serving as Acting Facu</w:t>
      </w:r>
      <w:r w:rsidR="003A25FC">
        <w:t xml:space="preserve">lty Administrator for a Faculty </w:t>
      </w:r>
      <w:r>
        <w:t xml:space="preserve">Administrator who is on a month-long vacation? </w:t>
      </w:r>
    </w:p>
    <w:p w14:paraId="1CBEFC9B" w14:textId="77777777" w:rsidR="00610AE3" w:rsidRPr="006615A2" w:rsidRDefault="003A25FC" w:rsidP="006627DE">
      <w:pPr>
        <w:ind w:left="720"/>
        <w:jc w:val="both"/>
        <w:rPr>
          <w:i/>
          <w:color w:val="548DD4" w:themeColor="text2" w:themeTint="99"/>
        </w:rPr>
      </w:pPr>
      <w:r w:rsidRPr="006615A2">
        <w:rPr>
          <w:i/>
          <w:color w:val="548DD4" w:themeColor="text2" w:themeTint="99"/>
        </w:rPr>
        <w:t>No.</w:t>
      </w:r>
      <w:r w:rsidR="00610AE3" w:rsidRPr="006615A2">
        <w:rPr>
          <w:i/>
          <w:color w:val="548DD4" w:themeColor="text2" w:themeTint="99"/>
        </w:rPr>
        <w:t xml:space="preserve"> Acting and Interim Faculty Administrators may be compensated only when serving for a minimum of o</w:t>
      </w:r>
      <w:r w:rsidRPr="006615A2">
        <w:rPr>
          <w:i/>
          <w:color w:val="548DD4" w:themeColor="text2" w:themeTint="99"/>
        </w:rPr>
        <w:t xml:space="preserve">ne-term (quarter or semester). </w:t>
      </w:r>
      <w:r w:rsidR="00610AE3" w:rsidRPr="006615A2">
        <w:rPr>
          <w:i/>
          <w:color w:val="548DD4" w:themeColor="text2" w:themeTint="99"/>
        </w:rPr>
        <w:t xml:space="preserve">Shorter appointments should be recognized through the academic review process as University service. </w:t>
      </w:r>
    </w:p>
    <w:p w14:paraId="65ED82C6" w14:textId="77777777" w:rsidR="00306DC5" w:rsidRDefault="00610AE3" w:rsidP="006615A2">
      <w:pPr>
        <w:numPr>
          <w:ilvl w:val="0"/>
          <w:numId w:val="38"/>
        </w:numPr>
        <w:spacing w:after="9" w:line="269" w:lineRule="auto"/>
        <w:jc w:val="both"/>
      </w:pPr>
      <w:r>
        <w:t xml:space="preserve">Is a non-Faculty academic appointee entitled to receive a stipend for a less than 100% Faculty Administrator position (e.g. a Professional Researcher serving as a MRU Director)? </w:t>
      </w:r>
    </w:p>
    <w:p w14:paraId="63BED62C" w14:textId="77777777" w:rsidR="00610AE3" w:rsidRPr="006615A2" w:rsidRDefault="00610AE3" w:rsidP="006627DE">
      <w:pPr>
        <w:spacing w:after="9" w:line="269" w:lineRule="auto"/>
        <w:ind w:left="720"/>
        <w:jc w:val="both"/>
        <w:rPr>
          <w:i/>
          <w:color w:val="548DD4" w:themeColor="text2" w:themeTint="99"/>
        </w:rPr>
      </w:pPr>
      <w:r w:rsidRPr="006615A2">
        <w:rPr>
          <w:i/>
          <w:color w:val="548DD4" w:themeColor="text2" w:themeTint="99"/>
        </w:rPr>
        <w:t>Yes. APM-633 provides for the payment of administrative stipends to eligible academic appointees as noted in that policy. While APM-241-4 defines part-time Faculty Administrators as being academic appointees in a faculty title, it also gives the Chancellor the authority to designate additional e</w:t>
      </w:r>
      <w:r w:rsidR="00306DC5" w:rsidRPr="006615A2">
        <w:rPr>
          <w:i/>
          <w:color w:val="548DD4" w:themeColor="text2" w:themeTint="99"/>
        </w:rPr>
        <w:t xml:space="preserve">ligible titles as appropriate. </w:t>
      </w:r>
      <w:r w:rsidRPr="006615A2">
        <w:rPr>
          <w:i/>
          <w:color w:val="548DD4" w:themeColor="text2" w:themeTint="99"/>
          <w:shd w:val="clear" w:color="auto" w:fill="FFFF00"/>
        </w:rPr>
        <w:t>Consequently, the</w:t>
      </w:r>
      <w:r w:rsidRPr="006615A2">
        <w:rPr>
          <w:i/>
          <w:color w:val="548DD4" w:themeColor="text2" w:themeTint="99"/>
        </w:rPr>
        <w:t xml:space="preserve"> </w:t>
      </w:r>
      <w:r w:rsidRPr="006615A2">
        <w:rPr>
          <w:i/>
          <w:color w:val="548DD4" w:themeColor="text2" w:themeTint="99"/>
          <w:shd w:val="clear" w:color="auto" w:fill="FFFF00"/>
        </w:rPr>
        <w:t>Chancellor could choo</w:t>
      </w:r>
      <w:r w:rsidR="00306DC5" w:rsidRPr="006615A2">
        <w:rPr>
          <w:i/>
          <w:color w:val="548DD4" w:themeColor="text2" w:themeTint="99"/>
          <w:shd w:val="clear" w:color="auto" w:fill="FFFF00"/>
        </w:rPr>
        <w:t>se to designate a non-f</w:t>
      </w:r>
      <w:r w:rsidRPr="006615A2">
        <w:rPr>
          <w:i/>
          <w:color w:val="548DD4" w:themeColor="text2" w:themeTint="99"/>
          <w:shd w:val="clear" w:color="auto" w:fill="FFFF00"/>
        </w:rPr>
        <w:t>aculty title as subject to the Faculty</w:t>
      </w:r>
      <w:r w:rsidRPr="006615A2">
        <w:rPr>
          <w:i/>
          <w:color w:val="548DD4" w:themeColor="text2" w:themeTint="99"/>
        </w:rPr>
        <w:t xml:space="preserve"> </w:t>
      </w:r>
      <w:r w:rsidRPr="006615A2">
        <w:rPr>
          <w:i/>
          <w:color w:val="548DD4" w:themeColor="text2" w:themeTint="99"/>
          <w:shd w:val="clear" w:color="auto" w:fill="FFFF00"/>
        </w:rPr>
        <w:t>Administrator policies.</w:t>
      </w:r>
      <w:r w:rsidRPr="006615A2">
        <w:rPr>
          <w:i/>
          <w:color w:val="548DD4" w:themeColor="text2" w:themeTint="99"/>
        </w:rPr>
        <w:t xml:space="preserve"> </w:t>
      </w:r>
    </w:p>
    <w:p w14:paraId="2B2B3392" w14:textId="04F31C3E" w:rsidR="00306DC5" w:rsidRDefault="00610AE3" w:rsidP="006615A2">
      <w:pPr>
        <w:spacing w:after="16" w:line="259" w:lineRule="auto"/>
        <w:jc w:val="both"/>
      </w:pPr>
      <w:r>
        <w:t xml:space="preserve"> </w:t>
      </w:r>
    </w:p>
    <w:p w14:paraId="7D8F1744" w14:textId="1D952A34" w:rsidR="00CB0EB9" w:rsidRDefault="00CB0EB9" w:rsidP="006615A2">
      <w:pPr>
        <w:spacing w:after="16" w:line="259" w:lineRule="auto"/>
        <w:jc w:val="both"/>
      </w:pPr>
    </w:p>
    <w:p w14:paraId="7E80BC64" w14:textId="77777777" w:rsidR="00CB0EB9" w:rsidRDefault="00CB0EB9" w:rsidP="006615A2">
      <w:pPr>
        <w:spacing w:after="16" w:line="259" w:lineRule="auto"/>
        <w:jc w:val="both"/>
      </w:pPr>
      <w:bookmarkStart w:id="0" w:name="_GoBack"/>
      <w:bookmarkEnd w:id="0"/>
    </w:p>
    <w:p w14:paraId="33663CDC" w14:textId="77777777" w:rsidR="00610AE3" w:rsidRDefault="00610AE3" w:rsidP="006615A2">
      <w:pPr>
        <w:pStyle w:val="ListParagraph"/>
        <w:numPr>
          <w:ilvl w:val="0"/>
          <w:numId w:val="38"/>
        </w:numPr>
        <w:spacing w:after="16" w:line="259" w:lineRule="auto"/>
        <w:jc w:val="both"/>
      </w:pPr>
      <w:r>
        <w:t xml:space="preserve">Are full-time Faculty Administrators who move from the SMG to the Academic Personnel program eligible for Executive Life Insurance and Executive Disability Insurance benefits? </w:t>
      </w:r>
    </w:p>
    <w:p w14:paraId="74398F12" w14:textId="77777777" w:rsidR="00610AE3" w:rsidRPr="006615A2" w:rsidRDefault="00610AE3" w:rsidP="006627DE">
      <w:pPr>
        <w:ind w:left="720"/>
        <w:jc w:val="both"/>
        <w:rPr>
          <w:i/>
          <w:color w:val="548DD4" w:themeColor="text2" w:themeTint="99"/>
        </w:rPr>
      </w:pPr>
      <w:r w:rsidRPr="006615A2">
        <w:rPr>
          <w:i/>
          <w:color w:val="548DD4" w:themeColor="text2" w:themeTint="99"/>
        </w:rPr>
        <w:lastRenderedPageBreak/>
        <w:t xml:space="preserve">Yes. Those who were enrolled in Executive Life Insurance and Executive Disability Insurance as of June 30, 2010, are eligible for Executive Life Insurance and Executive Disability.  </w:t>
      </w:r>
    </w:p>
    <w:p w14:paraId="5F32ACDC" w14:textId="77777777" w:rsidR="00610AE3" w:rsidRDefault="00610AE3" w:rsidP="00443974">
      <w:pPr>
        <w:numPr>
          <w:ilvl w:val="0"/>
          <w:numId w:val="38"/>
        </w:numPr>
        <w:spacing w:after="9" w:line="269" w:lineRule="auto"/>
        <w:jc w:val="both"/>
      </w:pPr>
      <w:r>
        <w:t xml:space="preserve">Can a full-time Faculty Administrator who is eligible for Executive Life Insurance as a “grandfathered” SMG benefit (i.e. a full-time Faculty Administrator with an appointment prior to </w:t>
      </w:r>
      <w:r w:rsidR="00306DC5">
        <w:t>0</w:t>
      </w:r>
      <w:r>
        <w:t xml:space="preserve">6/30/10) opt out of that benefit? </w:t>
      </w:r>
    </w:p>
    <w:p w14:paraId="361E4F8F" w14:textId="57E3313A" w:rsidR="00610AE3" w:rsidRPr="00443974" w:rsidRDefault="00610AE3" w:rsidP="00CB0EB9">
      <w:pPr>
        <w:spacing w:after="208"/>
        <w:ind w:left="720"/>
        <w:jc w:val="both"/>
        <w:rPr>
          <w:i/>
          <w:color w:val="548DD4" w:themeColor="text2" w:themeTint="99"/>
        </w:rPr>
      </w:pPr>
      <w:r w:rsidRPr="00443974">
        <w:rPr>
          <w:i/>
          <w:color w:val="548DD4" w:themeColor="text2" w:themeTint="99"/>
        </w:rPr>
        <w:t xml:space="preserve">Yes. The Faculty Administrator will need to fill out, sign, and file a UPAY 728 with Benefits or Accounting. </w:t>
      </w:r>
    </w:p>
    <w:p w14:paraId="43DF0068" w14:textId="77777777" w:rsidR="00610AE3" w:rsidRDefault="00610AE3" w:rsidP="00610AE3">
      <w:pPr>
        <w:spacing w:after="210"/>
        <w:ind w:left="355"/>
      </w:pPr>
    </w:p>
    <w:p w14:paraId="5D1F7F5B" w14:textId="77777777" w:rsidR="009F085B" w:rsidRDefault="009F085B" w:rsidP="00AC3D65">
      <w:pPr>
        <w:spacing w:after="0" w:line="240" w:lineRule="auto"/>
        <w:rPr>
          <w:rFonts w:eastAsia="Times New Roman" w:cs="Times New Roman"/>
          <w:b/>
          <w:bCs/>
          <w:color w:val="1F497D"/>
          <w:sz w:val="28"/>
          <w:szCs w:val="28"/>
        </w:rPr>
      </w:pPr>
    </w:p>
    <w:sectPr w:rsidR="009F085B" w:rsidSect="0068167D">
      <w:headerReference w:type="default" r:id="rId12"/>
      <w:footerReference w:type="default" r:id="rId13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02B76" w14:textId="77777777" w:rsidR="00F203B1" w:rsidRDefault="00F203B1" w:rsidP="00402054">
      <w:pPr>
        <w:spacing w:after="0" w:line="240" w:lineRule="auto"/>
      </w:pPr>
      <w:r>
        <w:separator/>
      </w:r>
    </w:p>
  </w:endnote>
  <w:endnote w:type="continuationSeparator" w:id="0">
    <w:p w14:paraId="19F11530" w14:textId="77777777" w:rsidR="00F203B1" w:rsidRDefault="00F203B1" w:rsidP="004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56B2A" w14:textId="7E29998F" w:rsidR="00402054" w:rsidRPr="00402054" w:rsidRDefault="00293087">
    <w:pPr>
      <w:pStyle w:val="Footer"/>
      <w:rPr>
        <w:sz w:val="16"/>
        <w:szCs w:val="16"/>
      </w:rPr>
    </w:pPr>
    <w:r>
      <w:rPr>
        <w:sz w:val="16"/>
        <w:szCs w:val="16"/>
      </w:rPr>
      <w:t>APO</w:t>
    </w:r>
    <w:r w:rsidR="00610AE3">
      <w:rPr>
        <w:sz w:val="16"/>
        <w:szCs w:val="16"/>
      </w:rPr>
      <w:t xml:space="preserve">:  </w:t>
    </w:r>
    <w:r w:rsidR="00610AE3" w:rsidRPr="00F1637E">
      <w:rPr>
        <w:i/>
        <w:sz w:val="16"/>
        <w:szCs w:val="16"/>
      </w:rPr>
      <w:t>UCOP; ct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5426771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02054" w:rsidRPr="00402054">
              <w:rPr>
                <w:sz w:val="16"/>
                <w:szCs w:val="16"/>
              </w:rPr>
              <w:t xml:space="preserve">Page </w: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="00402054" w:rsidRPr="0040205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CB0EB9">
              <w:rPr>
                <w:b/>
                <w:bCs/>
                <w:noProof/>
                <w:sz w:val="16"/>
                <w:szCs w:val="16"/>
              </w:rPr>
              <w:t>3</w: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end"/>
            </w:r>
            <w:r w:rsidR="00402054" w:rsidRPr="00402054">
              <w:rPr>
                <w:sz w:val="16"/>
                <w:szCs w:val="16"/>
              </w:rPr>
              <w:t xml:space="preserve"> of </w: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="00402054" w:rsidRPr="0040205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CB0EB9">
              <w:rPr>
                <w:b/>
                <w:bCs/>
                <w:noProof/>
                <w:sz w:val="16"/>
                <w:szCs w:val="16"/>
              </w:rPr>
              <w:t>3</w: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76CF3B1" w14:textId="77777777" w:rsidR="00402054" w:rsidRDefault="0040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8262" w14:textId="77777777" w:rsidR="00F203B1" w:rsidRDefault="00F203B1" w:rsidP="00402054">
      <w:pPr>
        <w:spacing w:after="0" w:line="240" w:lineRule="auto"/>
      </w:pPr>
      <w:r>
        <w:separator/>
      </w:r>
    </w:p>
  </w:footnote>
  <w:footnote w:type="continuationSeparator" w:id="0">
    <w:p w14:paraId="12B647E4" w14:textId="77777777" w:rsidR="00F203B1" w:rsidRDefault="00F203B1" w:rsidP="0040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209F" w14:textId="77777777" w:rsidR="003E2E50" w:rsidRPr="003E2E50" w:rsidRDefault="00293087" w:rsidP="003E2E50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caps/>
        <w:color w:val="2D6CC0"/>
        <w:sz w:val="24"/>
        <w:szCs w:val="24"/>
      </w:rPr>
    </w:pPr>
    <w:r w:rsidRPr="006471F5">
      <w:rPr>
        <w:b/>
        <w:noProof/>
      </w:rPr>
      <w:drawing>
        <wp:anchor distT="0" distB="0" distL="114300" distR="114300" simplePos="0" relativeHeight="251679744" behindDoc="0" locked="0" layoutInCell="1" allowOverlap="1" wp14:anchorId="08F527F7" wp14:editId="400AEBF2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2458085" cy="321310"/>
          <wp:effectExtent l="0" t="0" r="0" b="25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32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E50" w:rsidRPr="003E2E50">
      <w:rPr>
        <w:rFonts w:ascii="Calibri" w:hAnsi="Calibri"/>
        <w:caps/>
        <w:color w:val="2D6CC0"/>
        <w:sz w:val="24"/>
        <w:szCs w:val="24"/>
      </w:rPr>
      <w:t xml:space="preserve"> </w:t>
    </w:r>
    <w:sdt>
      <w:sdtPr>
        <w:rPr>
          <w:rFonts w:ascii="Calibri" w:hAnsi="Calibri"/>
          <w:b/>
          <w:caps/>
          <w:color w:val="2D6CC0"/>
          <w:sz w:val="24"/>
          <w:szCs w:val="24"/>
        </w:rPr>
        <w:alias w:val="Title"/>
        <w:tag w:val=""/>
        <w:id w:val="-195494207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0AE3">
          <w:rPr>
            <w:rFonts w:ascii="Calibri" w:hAnsi="Calibri"/>
            <w:b/>
            <w:caps/>
            <w:color w:val="2D6CC0"/>
            <w:sz w:val="24"/>
            <w:szCs w:val="24"/>
          </w:rPr>
          <w:t>Faculty Administrator Policies FAQ</w:t>
        </w:r>
      </w:sdtContent>
    </w:sdt>
  </w:p>
  <w:p w14:paraId="244539F9" w14:textId="77777777" w:rsidR="003E2E50" w:rsidRPr="003E2E50" w:rsidRDefault="003E2E50" w:rsidP="003E2E50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color w:val="7A6E67"/>
        <w:sz w:val="20"/>
        <w:szCs w:val="20"/>
      </w:rPr>
    </w:pPr>
    <w:r w:rsidRPr="003E2E50">
      <w:rPr>
        <w:rFonts w:ascii="Calibri" w:hAnsi="Calibri"/>
        <w:color w:val="2D6CC0"/>
        <w:sz w:val="24"/>
        <w:szCs w:val="24"/>
      </w:rPr>
      <w:tab/>
    </w:r>
    <w:r w:rsidR="00610AE3">
      <w:rPr>
        <w:rFonts w:ascii="Calibri" w:hAnsi="Calibri"/>
        <w:color w:val="7A6E67"/>
        <w:sz w:val="20"/>
        <w:szCs w:val="20"/>
      </w:rPr>
      <w:t>Creation Date:  12/08/10</w:t>
    </w:r>
  </w:p>
  <w:p w14:paraId="0ECDC081" w14:textId="77777777" w:rsidR="003E2E50" w:rsidRPr="003E2E50" w:rsidRDefault="003E2E50" w:rsidP="003E2E50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color w:val="7A6E67"/>
        <w:sz w:val="20"/>
        <w:szCs w:val="20"/>
      </w:rPr>
    </w:pPr>
    <w:r w:rsidRPr="003E2E50">
      <w:rPr>
        <w:rFonts w:ascii="Calibri" w:hAnsi="Calibri"/>
        <w:color w:val="7A6E67"/>
        <w:sz w:val="20"/>
        <w:szCs w:val="20"/>
      </w:rPr>
      <w:t>Revision Date:</w:t>
    </w:r>
    <w:r w:rsidR="00610AE3">
      <w:rPr>
        <w:rFonts w:ascii="Calibri" w:hAnsi="Calibri"/>
        <w:color w:val="7A6E67"/>
        <w:sz w:val="20"/>
        <w:szCs w:val="20"/>
      </w:rPr>
      <w:t xml:space="preserve">  04/23/19</w:t>
    </w:r>
  </w:p>
  <w:p w14:paraId="065ECD70" w14:textId="77777777" w:rsidR="003E2E50" w:rsidRPr="003E2E50" w:rsidRDefault="003E2E50" w:rsidP="003E2E50">
    <w:pPr>
      <w:pBdr>
        <w:bottom w:val="single" w:sz="12" w:space="1" w:color="4F81BD" w:themeColor="accent1"/>
      </w:pBd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  <w:p w14:paraId="7DFBFA7B" w14:textId="77777777" w:rsidR="00C0780B" w:rsidRDefault="00C07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17C"/>
    <w:multiLevelType w:val="hybridMultilevel"/>
    <w:tmpl w:val="EB3CF8E0"/>
    <w:lvl w:ilvl="0" w:tplc="C02E3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5A47"/>
    <w:multiLevelType w:val="hybridMultilevel"/>
    <w:tmpl w:val="25266D4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07D"/>
    <w:multiLevelType w:val="hybridMultilevel"/>
    <w:tmpl w:val="7F964558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E2E"/>
    <w:multiLevelType w:val="hybridMultilevel"/>
    <w:tmpl w:val="37F622F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05A4"/>
    <w:multiLevelType w:val="hybridMultilevel"/>
    <w:tmpl w:val="103ABC9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4D67"/>
    <w:multiLevelType w:val="hybridMultilevel"/>
    <w:tmpl w:val="37DA264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3918"/>
    <w:multiLevelType w:val="hybridMultilevel"/>
    <w:tmpl w:val="2F64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D508C"/>
    <w:multiLevelType w:val="hybridMultilevel"/>
    <w:tmpl w:val="9956F54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866F8"/>
    <w:multiLevelType w:val="hybridMultilevel"/>
    <w:tmpl w:val="16A4080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0AE2"/>
    <w:multiLevelType w:val="hybridMultilevel"/>
    <w:tmpl w:val="42808708"/>
    <w:lvl w:ilvl="0" w:tplc="9E2C78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A8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6E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E8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4DC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C6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612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E77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87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5D69F0"/>
    <w:multiLevelType w:val="hybridMultilevel"/>
    <w:tmpl w:val="132CD2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74D7E"/>
    <w:multiLevelType w:val="hybridMultilevel"/>
    <w:tmpl w:val="56B2599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078E9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E26A32"/>
    <w:multiLevelType w:val="hybridMultilevel"/>
    <w:tmpl w:val="87A0AFE2"/>
    <w:lvl w:ilvl="0" w:tplc="70E0DEB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43E"/>
    <w:multiLevelType w:val="hybridMultilevel"/>
    <w:tmpl w:val="E9D40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90609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3D6963"/>
    <w:multiLevelType w:val="hybridMultilevel"/>
    <w:tmpl w:val="731A3554"/>
    <w:lvl w:ilvl="0" w:tplc="20827AD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424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03C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87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8A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E7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AB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86D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A2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4B504E"/>
    <w:multiLevelType w:val="hybridMultilevel"/>
    <w:tmpl w:val="C8003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790C28"/>
    <w:multiLevelType w:val="hybridMultilevel"/>
    <w:tmpl w:val="2F98498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6511B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765F11"/>
    <w:multiLevelType w:val="hybridMultilevel"/>
    <w:tmpl w:val="CE900EF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10DA"/>
    <w:multiLevelType w:val="hybridMultilevel"/>
    <w:tmpl w:val="FDAC50A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D1155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C568D"/>
    <w:multiLevelType w:val="hybridMultilevel"/>
    <w:tmpl w:val="34C8571A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0898"/>
    <w:multiLevelType w:val="hybridMultilevel"/>
    <w:tmpl w:val="B66CC7B0"/>
    <w:lvl w:ilvl="0" w:tplc="C02E3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F704E04"/>
    <w:multiLevelType w:val="hybridMultilevel"/>
    <w:tmpl w:val="6A40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448E"/>
    <w:multiLevelType w:val="hybridMultilevel"/>
    <w:tmpl w:val="CAC6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6646"/>
    <w:multiLevelType w:val="hybridMultilevel"/>
    <w:tmpl w:val="9DE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9102B"/>
    <w:multiLevelType w:val="hybridMultilevel"/>
    <w:tmpl w:val="EFA89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F4633"/>
    <w:multiLevelType w:val="hybridMultilevel"/>
    <w:tmpl w:val="AE14EA96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64620"/>
    <w:multiLevelType w:val="hybridMultilevel"/>
    <w:tmpl w:val="16066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C7025"/>
    <w:multiLevelType w:val="hybridMultilevel"/>
    <w:tmpl w:val="1852627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71676"/>
    <w:multiLevelType w:val="hybridMultilevel"/>
    <w:tmpl w:val="A288B9E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070F0"/>
    <w:multiLevelType w:val="hybridMultilevel"/>
    <w:tmpl w:val="1F94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E555F"/>
    <w:multiLevelType w:val="hybridMultilevel"/>
    <w:tmpl w:val="DFD2176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B132C"/>
    <w:multiLevelType w:val="hybridMultilevel"/>
    <w:tmpl w:val="47B0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C2E40"/>
    <w:multiLevelType w:val="hybridMultilevel"/>
    <w:tmpl w:val="32B4A05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47C7B"/>
    <w:multiLevelType w:val="hybridMultilevel"/>
    <w:tmpl w:val="AEC2E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6E6D40"/>
    <w:multiLevelType w:val="hybridMultilevel"/>
    <w:tmpl w:val="425A0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7"/>
  </w:num>
  <w:num w:numId="3">
    <w:abstractNumId w:val="29"/>
  </w:num>
  <w:num w:numId="4">
    <w:abstractNumId w:val="23"/>
  </w:num>
  <w:num w:numId="5">
    <w:abstractNumId w:val="5"/>
  </w:num>
  <w:num w:numId="6">
    <w:abstractNumId w:val="31"/>
  </w:num>
  <w:num w:numId="7">
    <w:abstractNumId w:val="18"/>
  </w:num>
  <w:num w:numId="8">
    <w:abstractNumId w:val="1"/>
  </w:num>
  <w:num w:numId="9">
    <w:abstractNumId w:val="14"/>
  </w:num>
  <w:num w:numId="10">
    <w:abstractNumId w:val="20"/>
  </w:num>
  <w:num w:numId="11">
    <w:abstractNumId w:val="3"/>
  </w:num>
  <w:num w:numId="12">
    <w:abstractNumId w:val="36"/>
  </w:num>
  <w:num w:numId="13">
    <w:abstractNumId w:val="2"/>
  </w:num>
  <w:num w:numId="14">
    <w:abstractNumId w:val="34"/>
  </w:num>
  <w:num w:numId="15">
    <w:abstractNumId w:val="4"/>
  </w:num>
  <w:num w:numId="16">
    <w:abstractNumId w:val="11"/>
  </w:num>
  <w:num w:numId="17">
    <w:abstractNumId w:val="32"/>
  </w:num>
  <w:num w:numId="18">
    <w:abstractNumId w:val="21"/>
  </w:num>
  <w:num w:numId="19">
    <w:abstractNumId w:val="8"/>
  </w:num>
  <w:num w:numId="20">
    <w:abstractNumId w:val="33"/>
  </w:num>
  <w:num w:numId="21">
    <w:abstractNumId w:val="22"/>
  </w:num>
  <w:num w:numId="22">
    <w:abstractNumId w:val="12"/>
  </w:num>
  <w:num w:numId="23">
    <w:abstractNumId w:val="19"/>
  </w:num>
  <w:num w:numId="24">
    <w:abstractNumId w:val="6"/>
  </w:num>
  <w:num w:numId="25">
    <w:abstractNumId w:val="35"/>
  </w:num>
  <w:num w:numId="26">
    <w:abstractNumId w:val="28"/>
  </w:num>
  <w:num w:numId="27">
    <w:abstractNumId w:val="15"/>
  </w:num>
  <w:num w:numId="28">
    <w:abstractNumId w:val="30"/>
  </w:num>
  <w:num w:numId="29">
    <w:abstractNumId w:val="10"/>
  </w:num>
  <w:num w:numId="30">
    <w:abstractNumId w:val="37"/>
  </w:num>
  <w:num w:numId="31">
    <w:abstractNumId w:val="27"/>
  </w:num>
  <w:num w:numId="32">
    <w:abstractNumId w:val="38"/>
  </w:num>
  <w:num w:numId="33">
    <w:abstractNumId w:val="25"/>
  </w:num>
  <w:num w:numId="34">
    <w:abstractNumId w:val="13"/>
  </w:num>
  <w:num w:numId="35">
    <w:abstractNumId w:val="0"/>
  </w:num>
  <w:num w:numId="36">
    <w:abstractNumId w:val="9"/>
  </w:num>
  <w:num w:numId="37">
    <w:abstractNumId w:val="24"/>
  </w:num>
  <w:num w:numId="38">
    <w:abstractNumId w:val="1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54"/>
    <w:rsid w:val="00020FF1"/>
    <w:rsid w:val="000A7BDD"/>
    <w:rsid w:val="0010684C"/>
    <w:rsid w:val="00143B99"/>
    <w:rsid w:val="00154C23"/>
    <w:rsid w:val="00164AEC"/>
    <w:rsid w:val="001B2E20"/>
    <w:rsid w:val="001D3076"/>
    <w:rsid w:val="00282792"/>
    <w:rsid w:val="00293087"/>
    <w:rsid w:val="002B5D68"/>
    <w:rsid w:val="002D37FE"/>
    <w:rsid w:val="00306DC5"/>
    <w:rsid w:val="003166D9"/>
    <w:rsid w:val="00332DDC"/>
    <w:rsid w:val="00333884"/>
    <w:rsid w:val="003A25FC"/>
    <w:rsid w:val="003E2E50"/>
    <w:rsid w:val="00402054"/>
    <w:rsid w:val="00443974"/>
    <w:rsid w:val="00466C18"/>
    <w:rsid w:val="004941B7"/>
    <w:rsid w:val="00506294"/>
    <w:rsid w:val="0059196A"/>
    <w:rsid w:val="00610AE3"/>
    <w:rsid w:val="00640EAE"/>
    <w:rsid w:val="00646019"/>
    <w:rsid w:val="006615A2"/>
    <w:rsid w:val="006627DE"/>
    <w:rsid w:val="0068167D"/>
    <w:rsid w:val="00684084"/>
    <w:rsid w:val="006F3A50"/>
    <w:rsid w:val="0074172E"/>
    <w:rsid w:val="0079526E"/>
    <w:rsid w:val="007C21A7"/>
    <w:rsid w:val="0081502D"/>
    <w:rsid w:val="00842B6D"/>
    <w:rsid w:val="00845646"/>
    <w:rsid w:val="00863E2C"/>
    <w:rsid w:val="009F085B"/>
    <w:rsid w:val="00A3022B"/>
    <w:rsid w:val="00AB04EA"/>
    <w:rsid w:val="00AC3D65"/>
    <w:rsid w:val="00B43E47"/>
    <w:rsid w:val="00BA2188"/>
    <w:rsid w:val="00BB6103"/>
    <w:rsid w:val="00C0780B"/>
    <w:rsid w:val="00C95410"/>
    <w:rsid w:val="00CB0EB9"/>
    <w:rsid w:val="00D313EF"/>
    <w:rsid w:val="00D879D0"/>
    <w:rsid w:val="00DD0329"/>
    <w:rsid w:val="00E41C74"/>
    <w:rsid w:val="00EC7894"/>
    <w:rsid w:val="00F117D3"/>
    <w:rsid w:val="00F1637E"/>
    <w:rsid w:val="00F203B1"/>
    <w:rsid w:val="00F639E4"/>
    <w:rsid w:val="00F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A8C1C"/>
  <w15:docId w15:val="{43C271B7-8357-411B-B2C0-E3D4FF6E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84"/>
  </w:style>
  <w:style w:type="paragraph" w:styleId="Heading1">
    <w:name w:val="heading 1"/>
    <w:next w:val="Normal"/>
    <w:link w:val="Heading1Char"/>
    <w:uiPriority w:val="9"/>
    <w:unhideWhenUsed/>
    <w:qFormat/>
    <w:rsid w:val="00610AE3"/>
    <w:pPr>
      <w:keepNext/>
      <w:keepLines/>
      <w:spacing w:after="212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54"/>
  </w:style>
  <w:style w:type="paragraph" w:styleId="Footer">
    <w:name w:val="footer"/>
    <w:basedOn w:val="Normal"/>
    <w:link w:val="Foot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54"/>
  </w:style>
  <w:style w:type="paragraph" w:customStyle="1" w:styleId="Default">
    <w:name w:val="Default"/>
    <w:rsid w:val="00D879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894"/>
    <w:pPr>
      <w:ind w:left="720"/>
      <w:contextualSpacing/>
    </w:pPr>
  </w:style>
  <w:style w:type="paragraph" w:styleId="NoSpacing">
    <w:name w:val="No Spacing"/>
    <w:uiPriority w:val="1"/>
    <w:qFormat/>
    <w:rsid w:val="00F662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0AE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15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16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op.edu/academic-personnel-programs/_files/apm/apm-24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op.edu/academic-personnel-programs/_files/apm/apm-63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cop.edu/academic-personnel-programs/_files/apm/apm-24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op.edu/academic-personnel-programs/_files/apm/apm-24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Administrator Policies FAQ</dc:title>
  <dc:subject>UC Riverside AP Recruit</dc:subject>
  <dc:creator>Academic Personnel Office</dc:creator>
  <cp:lastModifiedBy>Danessa Murdock</cp:lastModifiedBy>
  <cp:revision>9</cp:revision>
  <cp:lastPrinted>2018-08-23T20:18:00Z</cp:lastPrinted>
  <dcterms:created xsi:type="dcterms:W3CDTF">2019-04-23T18:02:00Z</dcterms:created>
  <dcterms:modified xsi:type="dcterms:W3CDTF">2019-05-06T22:40:00Z</dcterms:modified>
</cp:coreProperties>
</file>