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BCED7" w14:textId="77777777" w:rsidR="00B2708C" w:rsidRPr="00E225BC" w:rsidRDefault="00B2708C" w:rsidP="00E225BC">
      <w:pPr>
        <w:pStyle w:val="Heading2"/>
        <w:rPr>
          <w:rFonts w:eastAsia="Calibri"/>
          <w:u w:val="single"/>
        </w:rPr>
      </w:pPr>
      <w:r w:rsidRPr="00E225BC">
        <w:rPr>
          <w:rFonts w:eastAsia="Calibri"/>
          <w:u w:val="single"/>
        </w:rPr>
        <w:t xml:space="preserve">Purpose </w:t>
      </w:r>
    </w:p>
    <w:p w14:paraId="7A5AE6D1" w14:textId="77777777" w:rsidR="00B2708C" w:rsidRPr="00B2708C" w:rsidRDefault="00B2708C" w:rsidP="00B2708C">
      <w:pPr>
        <w:spacing w:after="5" w:line="250" w:lineRule="auto"/>
        <w:ind w:left="10" w:hanging="10"/>
        <w:jc w:val="both"/>
        <w:rPr>
          <w:rFonts w:eastAsia="Calibri" w:cs="Calibri"/>
          <w:color w:val="000000"/>
        </w:rPr>
      </w:pPr>
      <w:r w:rsidRPr="00B2708C">
        <w:rPr>
          <w:rFonts w:eastAsia="Calibri" w:cs="Calibri"/>
          <w:color w:val="000000"/>
        </w:rPr>
        <w:t xml:space="preserve">To ensure equity, fairness, and flexibility in the determination of Department Chair compensation packages and to provide guidelines for those who are responsible for administering the details of department chair compensation. </w:t>
      </w:r>
    </w:p>
    <w:p w14:paraId="0C55E287" w14:textId="77777777" w:rsidR="00B2708C" w:rsidRPr="00B2708C" w:rsidRDefault="00B2708C" w:rsidP="00B2708C">
      <w:pPr>
        <w:spacing w:after="77" w:line="259" w:lineRule="auto"/>
        <w:rPr>
          <w:rFonts w:eastAsia="Calibri" w:cs="Calibri"/>
          <w:color w:val="000000"/>
        </w:rPr>
      </w:pPr>
      <w:r w:rsidRPr="00B2708C">
        <w:rPr>
          <w:rFonts w:eastAsia="Calibri" w:cs="Calibri"/>
          <w:color w:val="000000"/>
        </w:rPr>
        <w:t xml:space="preserve"> </w:t>
      </w:r>
    </w:p>
    <w:p w14:paraId="55E01F98" w14:textId="623B1AC3" w:rsidR="00B2708C" w:rsidRPr="00E225BC" w:rsidRDefault="00B2708C" w:rsidP="00E225BC">
      <w:pPr>
        <w:pStyle w:val="Heading2"/>
        <w:rPr>
          <w:rFonts w:eastAsia="Calibri"/>
          <w:u w:val="single"/>
        </w:rPr>
      </w:pPr>
      <w:r w:rsidRPr="00E225BC">
        <w:rPr>
          <w:rFonts w:eastAsia="Calibri"/>
          <w:u w:val="single"/>
        </w:rPr>
        <w:t xml:space="preserve">Related Policies </w:t>
      </w:r>
    </w:p>
    <w:p w14:paraId="12290029" w14:textId="77777777" w:rsidR="00B2708C" w:rsidRPr="00B2708C" w:rsidRDefault="00B2708C" w:rsidP="00B2708C">
      <w:pPr>
        <w:pStyle w:val="ListParagraph"/>
        <w:numPr>
          <w:ilvl w:val="0"/>
          <w:numId w:val="35"/>
        </w:numPr>
        <w:spacing w:after="5" w:line="250" w:lineRule="auto"/>
        <w:rPr>
          <w:rFonts w:eastAsia="Calibri" w:cs="Calibri"/>
          <w:color w:val="000000"/>
        </w:rPr>
      </w:pPr>
      <w:r w:rsidRPr="00B2708C">
        <w:rPr>
          <w:rFonts w:eastAsia="Calibri" w:cs="Calibri"/>
          <w:color w:val="0000FF"/>
          <w:u w:val="single" w:color="0000FF"/>
        </w:rPr>
        <w:t>APM 633</w:t>
      </w:r>
      <w:r w:rsidRPr="00B2708C">
        <w:rPr>
          <w:rFonts w:eastAsia="Calibri" w:cs="Calibri"/>
          <w:color w:val="000000"/>
        </w:rPr>
        <w:t xml:space="preserve">  Stipends/Academic Appointees </w:t>
      </w:r>
    </w:p>
    <w:p w14:paraId="49F7D4A0" w14:textId="77777777" w:rsidR="00B2708C" w:rsidRPr="00B2708C" w:rsidRDefault="00B2708C" w:rsidP="00B2708C">
      <w:pPr>
        <w:pStyle w:val="ListParagraph"/>
        <w:numPr>
          <w:ilvl w:val="0"/>
          <w:numId w:val="35"/>
        </w:numPr>
        <w:spacing w:after="39" w:line="250" w:lineRule="auto"/>
        <w:rPr>
          <w:rFonts w:eastAsia="Calibri" w:cs="Calibri"/>
          <w:color w:val="000000"/>
        </w:rPr>
      </w:pPr>
      <w:r w:rsidRPr="00B2708C">
        <w:rPr>
          <w:rFonts w:eastAsia="Calibri" w:cs="Calibri"/>
          <w:color w:val="0000FF"/>
          <w:u w:val="single" w:color="0000FF"/>
        </w:rPr>
        <w:t>APM 600 Appendix 1</w:t>
      </w:r>
      <w:r w:rsidRPr="00B2708C">
        <w:rPr>
          <w:rFonts w:eastAsia="Calibri" w:cs="Calibri"/>
          <w:color w:val="000000"/>
        </w:rPr>
        <w:t xml:space="preserve">  Guidelines for Payment of Additional Compensation to Academic-Year Appointee During the Summer </w:t>
      </w:r>
    </w:p>
    <w:p w14:paraId="43A4CCA6" w14:textId="77777777" w:rsidR="00B2708C" w:rsidRPr="00B2708C" w:rsidRDefault="00B2708C" w:rsidP="00B2708C">
      <w:pPr>
        <w:pStyle w:val="ListParagraph"/>
        <w:numPr>
          <w:ilvl w:val="0"/>
          <w:numId w:val="35"/>
        </w:numPr>
        <w:spacing w:after="5" w:line="250" w:lineRule="auto"/>
        <w:rPr>
          <w:rFonts w:eastAsia="Calibri" w:cs="Calibri"/>
          <w:color w:val="000000"/>
        </w:rPr>
      </w:pPr>
      <w:r w:rsidRPr="00B2708C">
        <w:rPr>
          <w:rFonts w:eastAsia="Calibri" w:cs="Calibri"/>
          <w:color w:val="0000FF"/>
          <w:u w:val="single" w:color="0000FF"/>
        </w:rPr>
        <w:t>APM 245</w:t>
      </w:r>
      <w:r w:rsidRPr="00B2708C">
        <w:rPr>
          <w:rFonts w:eastAsia="Calibri" w:cs="Calibri"/>
          <w:color w:val="000000"/>
        </w:rPr>
        <w:t xml:space="preserve">  Department Chairs </w:t>
      </w:r>
    </w:p>
    <w:p w14:paraId="244BE3EF" w14:textId="77777777" w:rsidR="00B2708C" w:rsidRPr="00B2708C" w:rsidRDefault="00B2708C" w:rsidP="00B2708C">
      <w:pPr>
        <w:spacing w:after="62" w:line="259" w:lineRule="auto"/>
        <w:rPr>
          <w:rFonts w:eastAsia="Calibri" w:cs="Calibri"/>
          <w:color w:val="000000"/>
        </w:rPr>
      </w:pPr>
      <w:r w:rsidRPr="00B2708C">
        <w:rPr>
          <w:rFonts w:eastAsia="Calibri" w:cs="Calibri"/>
          <w:color w:val="000000"/>
        </w:rPr>
        <w:t xml:space="preserve"> </w:t>
      </w:r>
    </w:p>
    <w:p w14:paraId="0E740352" w14:textId="77777777" w:rsidR="00B2708C" w:rsidRPr="00E225BC" w:rsidRDefault="00B2708C" w:rsidP="00E225BC">
      <w:pPr>
        <w:pStyle w:val="Heading2"/>
        <w:rPr>
          <w:rFonts w:eastAsia="Calibri"/>
          <w:u w:val="single"/>
        </w:rPr>
      </w:pPr>
      <w:r w:rsidRPr="00E225BC">
        <w:rPr>
          <w:rFonts w:eastAsia="Calibri"/>
          <w:u w:val="single"/>
        </w:rPr>
        <w:t>Department Chair Compensation Package</w:t>
      </w:r>
    </w:p>
    <w:p w14:paraId="13B01CCF" w14:textId="77777777" w:rsidR="00B2708C" w:rsidRPr="00B2708C" w:rsidRDefault="00B2708C" w:rsidP="00B2708C">
      <w:pPr>
        <w:spacing w:after="5" w:line="250" w:lineRule="auto"/>
        <w:ind w:left="26" w:hanging="10"/>
        <w:jc w:val="both"/>
        <w:rPr>
          <w:rFonts w:eastAsia="Calibri" w:cs="Calibri"/>
          <w:color w:val="000000"/>
        </w:rPr>
      </w:pPr>
      <w:r w:rsidRPr="00B2708C">
        <w:rPr>
          <w:rFonts w:eastAsia="Calibri" w:cs="Calibri"/>
          <w:color w:val="000000"/>
        </w:rPr>
        <w:t>The following are based on the department’s total expenditure budget</w:t>
      </w:r>
      <w:r>
        <w:rPr>
          <w:rFonts w:eastAsia="Calibri" w:cs="Calibri"/>
          <w:color w:val="000000"/>
        </w:rPr>
        <w:t xml:space="preserve"> for the previous fiscal year. </w:t>
      </w:r>
      <w:r w:rsidRPr="00B2708C">
        <w:rPr>
          <w:rFonts w:eastAsia="Calibri" w:cs="Calibri"/>
          <w:color w:val="000000"/>
        </w:rPr>
        <w:t>The dollar values for each range are set as a</w:t>
      </w:r>
      <w:r>
        <w:rPr>
          <w:rFonts w:eastAsia="Calibri" w:cs="Calibri"/>
          <w:color w:val="000000"/>
        </w:rPr>
        <w:t>n upper limit</w:t>
      </w:r>
      <w:r w:rsidRPr="00B2708C">
        <w:rPr>
          <w:rFonts w:eastAsia="Calibri" w:cs="Calibri"/>
          <w:color w:val="000000"/>
        </w:rPr>
        <w:t xml:space="preserve"> for the purpose of providing flexibility to the Deans in making the best possible de</w:t>
      </w:r>
      <w:r>
        <w:rPr>
          <w:rFonts w:eastAsia="Calibri" w:cs="Calibri"/>
          <w:color w:val="000000"/>
        </w:rPr>
        <w:t xml:space="preserve">cision on a case by case basis. </w:t>
      </w:r>
      <w:r w:rsidRPr="00B2708C">
        <w:rPr>
          <w:rFonts w:eastAsia="Calibri" w:cs="Calibri"/>
          <w:color w:val="000000"/>
        </w:rPr>
        <w:t>All department chair compensation (e.g., administrative stipend, summer salary, and research</w:t>
      </w:r>
      <w:r>
        <w:rPr>
          <w:rFonts w:eastAsia="Calibri" w:cs="Calibri"/>
          <w:color w:val="000000"/>
        </w:rPr>
        <w:t xml:space="preserve"> support) is paid by the Dean. </w:t>
      </w:r>
      <w:r w:rsidRPr="00B2708C">
        <w:rPr>
          <w:rFonts w:eastAsia="Calibri" w:cs="Calibri"/>
          <w:color w:val="000000"/>
        </w:rPr>
        <w:t xml:space="preserve">Stipends and Summer Salary payments may not exceed the maximum caps established below: </w:t>
      </w:r>
      <w:r w:rsidRPr="00B2708C">
        <w:rPr>
          <w:rFonts w:eastAsia="Calibri" w:cs="Calibri"/>
          <w:color w:val="FF0000"/>
        </w:rPr>
        <w:t xml:space="preserve"> </w:t>
      </w:r>
    </w:p>
    <w:p w14:paraId="664DF7A1" w14:textId="77777777" w:rsidR="00B2708C" w:rsidRPr="00B2708C" w:rsidRDefault="00B2708C" w:rsidP="00B2708C">
      <w:pPr>
        <w:spacing w:after="38" w:line="259" w:lineRule="auto"/>
        <w:rPr>
          <w:rFonts w:eastAsia="Calibri" w:cs="Calibri"/>
          <w:color w:val="000000"/>
        </w:rPr>
      </w:pPr>
      <w:r w:rsidRPr="00B2708C">
        <w:rPr>
          <w:rFonts w:eastAsia="Calibri" w:cs="Calibri"/>
          <w:color w:val="000000"/>
        </w:rPr>
        <w:t xml:space="preserve"> </w:t>
      </w:r>
    </w:p>
    <w:p w14:paraId="5821D1CD" w14:textId="77777777" w:rsidR="00B2708C" w:rsidRPr="00B2708C" w:rsidRDefault="00B2708C">
      <w:pPr>
        <w:spacing w:after="0" w:line="259" w:lineRule="auto"/>
        <w:ind w:left="16"/>
        <w:jc w:val="center"/>
        <w:rPr>
          <w:rFonts w:eastAsia="Calibri" w:cs="Calibri"/>
          <w:color w:val="000000"/>
        </w:rPr>
      </w:pPr>
      <w:r w:rsidRPr="00B2708C">
        <w:rPr>
          <w:rFonts w:eastAsia="Calibri" w:cs="Calibri"/>
          <w:b/>
          <w:color w:val="000000"/>
        </w:rPr>
        <w:t>TABLE A—Maximum Caps for Department Chair Stipend and Summer Salary</w:t>
      </w:r>
    </w:p>
    <w:tbl>
      <w:tblPr>
        <w:tblStyle w:val="TableGrid"/>
        <w:tblW w:w="8068" w:type="dxa"/>
        <w:jc w:val="center"/>
        <w:tblInd w:w="0" w:type="dxa"/>
        <w:tblCellMar>
          <w:top w:w="44" w:type="dxa"/>
          <w:left w:w="110" w:type="dxa"/>
          <w:bottom w:w="6" w:type="dxa"/>
          <w:right w:w="10" w:type="dxa"/>
        </w:tblCellMar>
        <w:tblLook w:val="04A0" w:firstRow="1" w:lastRow="0" w:firstColumn="1" w:lastColumn="0" w:noHBand="0" w:noVBand="1"/>
      </w:tblPr>
      <w:tblGrid>
        <w:gridCol w:w="3573"/>
        <w:gridCol w:w="1553"/>
        <w:gridCol w:w="2942"/>
      </w:tblGrid>
      <w:tr w:rsidR="00B2708C" w:rsidRPr="00B2708C" w14:paraId="01E33826" w14:textId="77777777" w:rsidTr="00E225BC">
        <w:trPr>
          <w:trHeight w:val="817"/>
          <w:jc w:val="center"/>
        </w:trPr>
        <w:tc>
          <w:tcPr>
            <w:tcW w:w="3573" w:type="dxa"/>
            <w:tcBorders>
              <w:top w:val="single" w:sz="4" w:space="0" w:color="000000"/>
              <w:left w:val="single" w:sz="4" w:space="0" w:color="000000"/>
              <w:bottom w:val="single" w:sz="4" w:space="0" w:color="000000"/>
              <w:right w:val="single" w:sz="4" w:space="0" w:color="000000"/>
            </w:tcBorders>
            <w:vAlign w:val="bottom"/>
          </w:tcPr>
          <w:p w14:paraId="247A780C" w14:textId="77777777" w:rsidR="00B2708C" w:rsidRPr="00B2708C" w:rsidRDefault="00B2708C" w:rsidP="00B2708C">
            <w:pPr>
              <w:spacing w:line="259" w:lineRule="auto"/>
              <w:ind w:right="7"/>
              <w:jc w:val="center"/>
              <w:rPr>
                <w:rFonts w:eastAsia="Calibri" w:cs="Calibri"/>
                <w:color w:val="000000"/>
              </w:rPr>
            </w:pPr>
            <w:r w:rsidRPr="00B2708C">
              <w:rPr>
                <w:rFonts w:eastAsia="Calibri" w:cs="Calibri"/>
                <w:b/>
                <w:color w:val="000000"/>
              </w:rPr>
              <w:t xml:space="preserve">Department Total Expenditure Budget Range </w:t>
            </w:r>
          </w:p>
        </w:tc>
        <w:tc>
          <w:tcPr>
            <w:tcW w:w="1553" w:type="dxa"/>
            <w:tcBorders>
              <w:top w:val="single" w:sz="4" w:space="0" w:color="000000"/>
              <w:left w:val="single" w:sz="4" w:space="0" w:color="000000"/>
              <w:bottom w:val="single" w:sz="4" w:space="0" w:color="000000"/>
              <w:right w:val="single" w:sz="4" w:space="0" w:color="000000"/>
            </w:tcBorders>
          </w:tcPr>
          <w:p w14:paraId="095C1E48" w14:textId="77777777" w:rsidR="00B2708C" w:rsidRPr="00B2708C" w:rsidRDefault="00B2708C" w:rsidP="00B2708C">
            <w:pPr>
              <w:spacing w:line="239" w:lineRule="auto"/>
              <w:jc w:val="center"/>
              <w:rPr>
                <w:rFonts w:eastAsia="Calibri" w:cs="Calibri"/>
                <w:color w:val="000000"/>
              </w:rPr>
            </w:pPr>
            <w:r w:rsidRPr="00B2708C">
              <w:rPr>
                <w:rFonts w:eastAsia="Calibri" w:cs="Calibri"/>
                <w:b/>
                <w:color w:val="000000"/>
              </w:rPr>
              <w:t xml:space="preserve">Maximum Cap for Annual </w:t>
            </w:r>
          </w:p>
          <w:p w14:paraId="2E02734B" w14:textId="77777777" w:rsidR="00B2708C" w:rsidRPr="00B2708C" w:rsidRDefault="00B2708C" w:rsidP="00B2708C">
            <w:pPr>
              <w:spacing w:line="259" w:lineRule="auto"/>
              <w:ind w:right="105"/>
              <w:jc w:val="center"/>
              <w:rPr>
                <w:rFonts w:eastAsia="Calibri" w:cs="Calibri"/>
                <w:color w:val="000000"/>
              </w:rPr>
            </w:pPr>
            <w:r w:rsidRPr="00B2708C">
              <w:rPr>
                <w:rFonts w:eastAsia="Calibri" w:cs="Calibri"/>
                <w:b/>
                <w:color w:val="000000"/>
              </w:rPr>
              <w:t xml:space="preserve">Stipend  </w:t>
            </w:r>
          </w:p>
        </w:tc>
        <w:tc>
          <w:tcPr>
            <w:tcW w:w="2942" w:type="dxa"/>
            <w:tcBorders>
              <w:top w:val="single" w:sz="4" w:space="0" w:color="000000"/>
              <w:left w:val="single" w:sz="4" w:space="0" w:color="000000"/>
              <w:bottom w:val="single" w:sz="4" w:space="0" w:color="000000"/>
              <w:right w:val="single" w:sz="4" w:space="0" w:color="000000"/>
            </w:tcBorders>
            <w:vAlign w:val="bottom"/>
          </w:tcPr>
          <w:p w14:paraId="2F0DD47F" w14:textId="77777777" w:rsidR="00B2708C" w:rsidRPr="00B2708C" w:rsidRDefault="00B2708C" w:rsidP="00B2708C">
            <w:pPr>
              <w:spacing w:line="259" w:lineRule="auto"/>
              <w:ind w:right="102"/>
              <w:jc w:val="center"/>
              <w:rPr>
                <w:rFonts w:eastAsia="Calibri" w:cs="Calibri"/>
                <w:color w:val="000000"/>
              </w:rPr>
            </w:pPr>
            <w:r w:rsidRPr="00B2708C">
              <w:rPr>
                <w:rFonts w:eastAsia="Calibri" w:cs="Calibri"/>
                <w:b/>
                <w:color w:val="000000"/>
              </w:rPr>
              <w:t xml:space="preserve">Maximum Summer Salary  </w:t>
            </w:r>
          </w:p>
          <w:p w14:paraId="409DD438" w14:textId="77777777" w:rsidR="00B2708C" w:rsidRPr="00B2708C" w:rsidRDefault="00B2708C" w:rsidP="00B2708C">
            <w:pPr>
              <w:spacing w:line="259" w:lineRule="auto"/>
              <w:jc w:val="center"/>
              <w:rPr>
                <w:rFonts w:eastAsia="Calibri" w:cs="Calibri"/>
                <w:color w:val="000000"/>
              </w:rPr>
            </w:pPr>
            <w:r w:rsidRPr="00B2708C">
              <w:rPr>
                <w:rFonts w:eastAsia="Calibri" w:cs="Calibri"/>
                <w:color w:val="000000"/>
              </w:rPr>
              <w:t>(Applicable only to Academic-Year Appointees)</w:t>
            </w:r>
            <w:r w:rsidRPr="00B2708C">
              <w:rPr>
                <w:rFonts w:eastAsia="Calibri" w:cs="Calibri"/>
                <w:b/>
                <w:color w:val="000000"/>
              </w:rPr>
              <w:t xml:space="preserve"> </w:t>
            </w:r>
          </w:p>
        </w:tc>
      </w:tr>
      <w:tr w:rsidR="00B2708C" w:rsidRPr="00B2708C" w14:paraId="6B1FA0F2" w14:textId="77777777" w:rsidTr="00E225BC">
        <w:trPr>
          <w:trHeight w:val="276"/>
          <w:jc w:val="center"/>
        </w:trPr>
        <w:tc>
          <w:tcPr>
            <w:tcW w:w="3573" w:type="dxa"/>
            <w:tcBorders>
              <w:top w:val="single" w:sz="4" w:space="0" w:color="000000"/>
              <w:left w:val="single" w:sz="4" w:space="0" w:color="000000"/>
              <w:bottom w:val="single" w:sz="4" w:space="0" w:color="000000"/>
              <w:right w:val="single" w:sz="4" w:space="0" w:color="000000"/>
            </w:tcBorders>
            <w:shd w:val="clear" w:color="auto" w:fill="CCCCCC"/>
          </w:tcPr>
          <w:p w14:paraId="04EDA814" w14:textId="77777777" w:rsidR="00B2708C" w:rsidRPr="00B2708C" w:rsidRDefault="00B2708C" w:rsidP="00B2708C">
            <w:pPr>
              <w:spacing w:line="259" w:lineRule="auto"/>
              <w:ind w:right="99"/>
              <w:jc w:val="right"/>
              <w:rPr>
                <w:rFonts w:eastAsia="Calibri" w:cs="Calibri"/>
                <w:color w:val="000000"/>
              </w:rPr>
            </w:pPr>
            <w:r w:rsidRPr="00B2708C">
              <w:rPr>
                <w:rFonts w:eastAsia="Calibri" w:cs="Calibri"/>
                <w:color w:val="000000"/>
              </w:rPr>
              <w:t xml:space="preserve">$5,500,000 or more  </w:t>
            </w:r>
          </w:p>
        </w:tc>
        <w:tc>
          <w:tcPr>
            <w:tcW w:w="1553" w:type="dxa"/>
            <w:tcBorders>
              <w:top w:val="single" w:sz="4" w:space="0" w:color="000000"/>
              <w:left w:val="single" w:sz="4" w:space="0" w:color="000000"/>
              <w:bottom w:val="single" w:sz="4" w:space="0" w:color="000000"/>
              <w:right w:val="single" w:sz="4" w:space="0" w:color="000000"/>
            </w:tcBorders>
            <w:shd w:val="clear" w:color="auto" w:fill="CCCCCC"/>
          </w:tcPr>
          <w:p w14:paraId="2C55C96E" w14:textId="77777777" w:rsidR="00B2708C" w:rsidRPr="00B2708C" w:rsidRDefault="00B2708C" w:rsidP="00B2708C">
            <w:pPr>
              <w:spacing w:line="259" w:lineRule="auto"/>
              <w:ind w:right="99"/>
              <w:jc w:val="right"/>
              <w:rPr>
                <w:rFonts w:eastAsia="Calibri" w:cs="Calibri"/>
                <w:color w:val="000000"/>
              </w:rPr>
            </w:pPr>
            <w:r w:rsidRPr="00B2708C">
              <w:rPr>
                <w:rFonts w:eastAsia="Calibri" w:cs="Calibri"/>
                <w:color w:val="000000"/>
              </w:rPr>
              <w:t xml:space="preserve">$15,000 </w:t>
            </w:r>
          </w:p>
        </w:tc>
        <w:tc>
          <w:tcPr>
            <w:tcW w:w="2942" w:type="dxa"/>
            <w:tcBorders>
              <w:top w:val="single" w:sz="4" w:space="0" w:color="000000"/>
              <w:left w:val="single" w:sz="4" w:space="0" w:color="000000"/>
              <w:bottom w:val="single" w:sz="4" w:space="0" w:color="000000"/>
              <w:right w:val="single" w:sz="4" w:space="0" w:color="000000"/>
            </w:tcBorders>
            <w:shd w:val="clear" w:color="auto" w:fill="CCCCCC"/>
          </w:tcPr>
          <w:p w14:paraId="721D5A57" w14:textId="77777777" w:rsidR="00B2708C" w:rsidRPr="00B2708C" w:rsidRDefault="00B2708C" w:rsidP="00B2708C">
            <w:pPr>
              <w:spacing w:line="259" w:lineRule="auto"/>
              <w:ind w:right="96"/>
              <w:jc w:val="right"/>
              <w:rPr>
                <w:rFonts w:eastAsia="Calibri" w:cs="Calibri"/>
                <w:color w:val="000000"/>
              </w:rPr>
            </w:pPr>
            <w:r w:rsidRPr="00B2708C">
              <w:rPr>
                <w:rFonts w:eastAsia="Calibri" w:cs="Calibri"/>
                <w:color w:val="000000"/>
              </w:rPr>
              <w:t xml:space="preserve">2/9 Annual Salary </w:t>
            </w:r>
          </w:p>
        </w:tc>
      </w:tr>
      <w:tr w:rsidR="00B2708C" w:rsidRPr="00B2708C" w14:paraId="0E28341B" w14:textId="77777777" w:rsidTr="00E225BC">
        <w:trPr>
          <w:trHeight w:val="281"/>
          <w:jc w:val="center"/>
        </w:trPr>
        <w:tc>
          <w:tcPr>
            <w:tcW w:w="3573" w:type="dxa"/>
            <w:tcBorders>
              <w:top w:val="single" w:sz="4" w:space="0" w:color="000000"/>
              <w:left w:val="single" w:sz="4" w:space="0" w:color="000000"/>
              <w:bottom w:val="single" w:sz="4" w:space="0" w:color="000000"/>
              <w:right w:val="single" w:sz="4" w:space="0" w:color="000000"/>
            </w:tcBorders>
          </w:tcPr>
          <w:p w14:paraId="376E4459" w14:textId="77777777" w:rsidR="00B2708C" w:rsidRPr="00B2708C" w:rsidRDefault="00B2708C" w:rsidP="00B2708C">
            <w:pPr>
              <w:spacing w:line="259" w:lineRule="auto"/>
              <w:ind w:right="97"/>
              <w:jc w:val="right"/>
              <w:rPr>
                <w:rFonts w:eastAsia="Calibri" w:cs="Calibri"/>
                <w:color w:val="000000"/>
              </w:rPr>
            </w:pPr>
            <w:r w:rsidRPr="00B2708C">
              <w:rPr>
                <w:rFonts w:eastAsia="Calibri" w:cs="Calibri"/>
                <w:color w:val="000000"/>
              </w:rPr>
              <w:t xml:space="preserve">$4,000,001 to $5,499,999 </w:t>
            </w:r>
          </w:p>
        </w:tc>
        <w:tc>
          <w:tcPr>
            <w:tcW w:w="1553" w:type="dxa"/>
            <w:tcBorders>
              <w:top w:val="single" w:sz="4" w:space="0" w:color="000000"/>
              <w:left w:val="single" w:sz="4" w:space="0" w:color="000000"/>
              <w:bottom w:val="single" w:sz="4" w:space="0" w:color="000000"/>
              <w:right w:val="single" w:sz="4" w:space="0" w:color="000000"/>
            </w:tcBorders>
          </w:tcPr>
          <w:p w14:paraId="1C40DB7B" w14:textId="77777777" w:rsidR="00B2708C" w:rsidRPr="00B2708C" w:rsidRDefault="00B2708C" w:rsidP="00B2708C">
            <w:pPr>
              <w:spacing w:line="259" w:lineRule="auto"/>
              <w:ind w:right="100"/>
              <w:jc w:val="right"/>
              <w:rPr>
                <w:rFonts w:eastAsia="Calibri" w:cs="Calibri"/>
                <w:color w:val="000000"/>
              </w:rPr>
            </w:pPr>
            <w:r w:rsidRPr="00B2708C">
              <w:rPr>
                <w:rFonts w:eastAsia="Calibri" w:cs="Calibri"/>
                <w:color w:val="000000"/>
              </w:rPr>
              <w:t xml:space="preserve">$12,500 </w:t>
            </w:r>
          </w:p>
        </w:tc>
        <w:tc>
          <w:tcPr>
            <w:tcW w:w="2942" w:type="dxa"/>
            <w:tcBorders>
              <w:top w:val="single" w:sz="4" w:space="0" w:color="000000"/>
              <w:left w:val="single" w:sz="4" w:space="0" w:color="000000"/>
              <w:bottom w:val="single" w:sz="4" w:space="0" w:color="000000"/>
              <w:right w:val="single" w:sz="4" w:space="0" w:color="000000"/>
            </w:tcBorders>
          </w:tcPr>
          <w:p w14:paraId="7F30CCA8" w14:textId="77777777" w:rsidR="00B2708C" w:rsidRPr="00B2708C" w:rsidRDefault="00B2708C" w:rsidP="00B2708C">
            <w:pPr>
              <w:spacing w:line="259" w:lineRule="auto"/>
              <w:ind w:right="96"/>
              <w:jc w:val="right"/>
              <w:rPr>
                <w:rFonts w:eastAsia="Calibri" w:cs="Calibri"/>
                <w:color w:val="000000"/>
              </w:rPr>
            </w:pPr>
            <w:r w:rsidRPr="00B2708C">
              <w:rPr>
                <w:rFonts w:eastAsia="Calibri" w:cs="Calibri"/>
                <w:color w:val="000000"/>
              </w:rPr>
              <w:t xml:space="preserve">1.5/9 Annual Salary </w:t>
            </w:r>
          </w:p>
        </w:tc>
      </w:tr>
      <w:tr w:rsidR="00B2708C" w:rsidRPr="00B2708C" w14:paraId="004E4ED5" w14:textId="77777777" w:rsidTr="00E225BC">
        <w:trPr>
          <w:trHeight w:val="286"/>
          <w:jc w:val="center"/>
        </w:trPr>
        <w:tc>
          <w:tcPr>
            <w:tcW w:w="3573" w:type="dxa"/>
            <w:tcBorders>
              <w:top w:val="single" w:sz="4" w:space="0" w:color="000000"/>
              <w:left w:val="single" w:sz="4" w:space="0" w:color="000000"/>
              <w:bottom w:val="single" w:sz="4" w:space="0" w:color="000000"/>
              <w:right w:val="single" w:sz="4" w:space="0" w:color="000000"/>
            </w:tcBorders>
            <w:shd w:val="clear" w:color="auto" w:fill="CCCCCC"/>
          </w:tcPr>
          <w:p w14:paraId="3763B904" w14:textId="77777777" w:rsidR="00B2708C" w:rsidRPr="00B2708C" w:rsidRDefault="00B2708C" w:rsidP="00B2708C">
            <w:pPr>
              <w:spacing w:line="259" w:lineRule="auto"/>
              <w:ind w:right="97"/>
              <w:jc w:val="right"/>
              <w:rPr>
                <w:rFonts w:eastAsia="Calibri" w:cs="Calibri"/>
                <w:color w:val="000000"/>
              </w:rPr>
            </w:pPr>
            <w:r w:rsidRPr="00B2708C">
              <w:rPr>
                <w:rFonts w:eastAsia="Calibri" w:cs="Calibri"/>
                <w:color w:val="000000"/>
              </w:rPr>
              <w:t xml:space="preserve">Less than $4,000,000 </w:t>
            </w:r>
          </w:p>
        </w:tc>
        <w:tc>
          <w:tcPr>
            <w:tcW w:w="1553" w:type="dxa"/>
            <w:tcBorders>
              <w:top w:val="single" w:sz="4" w:space="0" w:color="000000"/>
              <w:left w:val="single" w:sz="4" w:space="0" w:color="000000"/>
              <w:bottom w:val="single" w:sz="4" w:space="0" w:color="000000"/>
              <w:right w:val="single" w:sz="4" w:space="0" w:color="000000"/>
            </w:tcBorders>
            <w:shd w:val="clear" w:color="auto" w:fill="CCCCCC"/>
          </w:tcPr>
          <w:p w14:paraId="07BD93B1" w14:textId="77777777" w:rsidR="00B2708C" w:rsidRPr="00B2708C" w:rsidRDefault="00B2708C" w:rsidP="00B2708C">
            <w:pPr>
              <w:spacing w:line="259" w:lineRule="auto"/>
              <w:ind w:right="100"/>
              <w:jc w:val="right"/>
              <w:rPr>
                <w:rFonts w:eastAsia="Calibri" w:cs="Calibri"/>
                <w:color w:val="000000"/>
              </w:rPr>
            </w:pPr>
            <w:r w:rsidRPr="00B2708C">
              <w:rPr>
                <w:rFonts w:eastAsia="Calibri" w:cs="Calibri"/>
                <w:color w:val="000000"/>
              </w:rPr>
              <w:t xml:space="preserve">$10,000 </w:t>
            </w:r>
          </w:p>
        </w:tc>
        <w:tc>
          <w:tcPr>
            <w:tcW w:w="2942" w:type="dxa"/>
            <w:tcBorders>
              <w:top w:val="single" w:sz="4" w:space="0" w:color="000000"/>
              <w:left w:val="single" w:sz="4" w:space="0" w:color="000000"/>
              <w:bottom w:val="single" w:sz="4" w:space="0" w:color="000000"/>
              <w:right w:val="single" w:sz="4" w:space="0" w:color="000000"/>
            </w:tcBorders>
            <w:shd w:val="clear" w:color="auto" w:fill="CCCCCC"/>
          </w:tcPr>
          <w:p w14:paraId="0ED79A7C" w14:textId="77777777" w:rsidR="00B2708C" w:rsidRPr="00B2708C" w:rsidRDefault="00B2708C" w:rsidP="00B2708C">
            <w:pPr>
              <w:spacing w:line="259" w:lineRule="auto"/>
              <w:ind w:right="96"/>
              <w:jc w:val="right"/>
              <w:rPr>
                <w:rFonts w:eastAsia="Calibri" w:cs="Calibri"/>
                <w:color w:val="000000"/>
              </w:rPr>
            </w:pPr>
            <w:r w:rsidRPr="00B2708C">
              <w:rPr>
                <w:rFonts w:eastAsia="Calibri" w:cs="Calibri"/>
                <w:color w:val="000000"/>
              </w:rPr>
              <w:t xml:space="preserve">1/9 Annual Salary </w:t>
            </w:r>
          </w:p>
        </w:tc>
      </w:tr>
    </w:tbl>
    <w:p w14:paraId="5732F54E" w14:textId="77777777" w:rsidR="00B2708C" w:rsidRPr="00B2708C" w:rsidRDefault="00B2708C" w:rsidP="00B2708C">
      <w:pPr>
        <w:spacing w:after="62" w:line="259" w:lineRule="auto"/>
        <w:rPr>
          <w:rFonts w:eastAsia="Calibri" w:cs="Calibri"/>
          <w:color w:val="000000"/>
        </w:rPr>
      </w:pPr>
      <w:r w:rsidRPr="00B2708C">
        <w:rPr>
          <w:rFonts w:eastAsia="Calibri" w:cs="Calibri"/>
          <w:color w:val="000000"/>
        </w:rPr>
        <w:t xml:space="preserve"> </w:t>
      </w:r>
    </w:p>
    <w:p w14:paraId="58F98674" w14:textId="77777777" w:rsidR="00B2708C" w:rsidRPr="00B2708C" w:rsidRDefault="00B2708C" w:rsidP="00B2708C">
      <w:pPr>
        <w:spacing w:after="5" w:line="250" w:lineRule="auto"/>
        <w:ind w:hanging="10"/>
        <w:jc w:val="both"/>
        <w:rPr>
          <w:rFonts w:eastAsia="Calibri" w:cs="Calibri"/>
          <w:color w:val="000000"/>
        </w:rPr>
      </w:pPr>
      <w:r w:rsidRPr="00B2708C">
        <w:rPr>
          <w:rFonts w:eastAsia="Calibri" w:cs="Calibri"/>
          <w:color w:val="000000"/>
        </w:rPr>
        <w:t xml:space="preserve">Academic-year appointees who serve as department chairs may, at the Dean’s discretion, be eligible to receive summer salary for their administrative service, which shall not exceed the maximum cap as stipulated in Table A above.   </w:t>
      </w:r>
    </w:p>
    <w:p w14:paraId="77A8058D" w14:textId="77777777" w:rsidR="00B2708C" w:rsidRPr="00B2708C" w:rsidRDefault="00B2708C" w:rsidP="00B2708C">
      <w:pPr>
        <w:spacing w:after="0" w:line="259" w:lineRule="auto"/>
        <w:jc w:val="both"/>
        <w:rPr>
          <w:rFonts w:eastAsia="Calibri" w:cs="Calibri"/>
          <w:color w:val="000000"/>
        </w:rPr>
      </w:pPr>
      <w:r w:rsidRPr="00B2708C">
        <w:rPr>
          <w:rFonts w:eastAsia="Calibri" w:cs="Calibri"/>
          <w:color w:val="000000"/>
        </w:rPr>
        <w:t xml:space="preserve"> </w:t>
      </w:r>
    </w:p>
    <w:p w14:paraId="03E9E444" w14:textId="77777777" w:rsidR="00B2708C" w:rsidRPr="00B2708C" w:rsidRDefault="00B2708C" w:rsidP="00B2708C">
      <w:pPr>
        <w:spacing w:after="5" w:line="250" w:lineRule="auto"/>
        <w:ind w:hanging="10"/>
        <w:jc w:val="both"/>
        <w:rPr>
          <w:rFonts w:eastAsia="Calibri" w:cs="Calibri"/>
          <w:color w:val="000000"/>
        </w:rPr>
      </w:pPr>
      <w:r w:rsidRPr="00B2708C">
        <w:rPr>
          <w:rFonts w:eastAsia="Calibri" w:cs="Calibri"/>
          <w:color w:val="000000"/>
        </w:rPr>
        <w:t xml:space="preserve">In addition, the Dean, at his/her discretion, may provide additional funds to the Department Chair for research support. </w:t>
      </w:r>
    </w:p>
    <w:p w14:paraId="3EE6C9DD" w14:textId="77777777" w:rsidR="00B2708C" w:rsidRPr="00B2708C" w:rsidRDefault="00B2708C" w:rsidP="00B2708C">
      <w:pPr>
        <w:spacing w:after="62" w:line="259" w:lineRule="auto"/>
        <w:rPr>
          <w:rFonts w:eastAsia="Calibri" w:cs="Calibri"/>
          <w:color w:val="000000"/>
        </w:rPr>
      </w:pPr>
      <w:r w:rsidRPr="00B2708C">
        <w:rPr>
          <w:rFonts w:eastAsia="Calibri" w:cs="Calibri"/>
          <w:color w:val="000000"/>
        </w:rPr>
        <w:t xml:space="preserve"> </w:t>
      </w:r>
    </w:p>
    <w:p w14:paraId="36DAEFDD" w14:textId="77777777" w:rsidR="00B2708C" w:rsidRPr="00E225BC" w:rsidRDefault="00B2708C" w:rsidP="00E225BC">
      <w:pPr>
        <w:pStyle w:val="Heading2"/>
        <w:rPr>
          <w:rFonts w:eastAsia="Calibri"/>
          <w:u w:val="single"/>
        </w:rPr>
      </w:pPr>
      <w:r w:rsidRPr="00E225BC">
        <w:rPr>
          <w:rFonts w:eastAsia="Calibri"/>
          <w:u w:val="single"/>
        </w:rPr>
        <w:t>Stipend Administration</w:t>
      </w:r>
    </w:p>
    <w:p w14:paraId="50D6B45A" w14:textId="765728B8" w:rsidR="00B2708C" w:rsidRPr="00B2708C" w:rsidRDefault="00B2708C" w:rsidP="00B2708C">
      <w:pPr>
        <w:spacing w:after="5" w:line="250" w:lineRule="auto"/>
        <w:ind w:left="10" w:hanging="10"/>
        <w:jc w:val="both"/>
        <w:rPr>
          <w:rFonts w:eastAsia="Calibri" w:cs="Calibri"/>
          <w:color w:val="000000"/>
        </w:rPr>
      </w:pPr>
      <w:r w:rsidRPr="00B2708C">
        <w:rPr>
          <w:rFonts w:eastAsia="Calibri" w:cs="Calibri"/>
          <w:color w:val="000000"/>
        </w:rPr>
        <w:t>Stipends are paid on a 9-month basis (9/9) for academic-year appointee</w:t>
      </w:r>
      <w:r w:rsidR="00FD1EEE">
        <w:rPr>
          <w:rFonts w:eastAsia="Calibri" w:cs="Calibri"/>
          <w:color w:val="000000"/>
        </w:rPr>
        <w:t>s</w:t>
      </w:r>
      <w:r w:rsidRPr="00B2708C">
        <w:rPr>
          <w:rFonts w:eastAsia="Calibri" w:cs="Calibri"/>
          <w:color w:val="000000"/>
        </w:rPr>
        <w:t xml:space="preserve"> </w:t>
      </w:r>
      <w:r w:rsidR="00FD1EEE">
        <w:rPr>
          <w:rFonts w:eastAsia="Calibri" w:cs="Calibri"/>
          <w:color w:val="000000"/>
        </w:rPr>
        <w:t xml:space="preserve">(October 1 – June 30) </w:t>
      </w:r>
      <w:r w:rsidRPr="00B2708C">
        <w:rPr>
          <w:rFonts w:eastAsia="Calibri" w:cs="Calibri"/>
          <w:color w:val="000000"/>
        </w:rPr>
        <w:t xml:space="preserve">and on a </w:t>
      </w:r>
      <w:r w:rsidR="009220B7">
        <w:rPr>
          <w:rFonts w:eastAsia="Calibri" w:cs="Calibri"/>
          <w:color w:val="000000"/>
        </w:rPr>
        <w:t xml:space="preserve">fiscal year basis </w:t>
      </w:r>
      <w:r w:rsidRPr="00B2708C">
        <w:rPr>
          <w:rFonts w:eastAsia="Calibri" w:cs="Calibri"/>
          <w:color w:val="000000"/>
        </w:rPr>
        <w:t xml:space="preserve">for fiscal-year appointees </w:t>
      </w:r>
      <w:r w:rsidR="00FD1EEE">
        <w:rPr>
          <w:rFonts w:eastAsia="Calibri" w:cs="Calibri"/>
          <w:color w:val="000000"/>
        </w:rPr>
        <w:t>(</w:t>
      </w:r>
      <w:r w:rsidR="009220B7">
        <w:rPr>
          <w:rFonts w:eastAsia="Calibri" w:cs="Calibri"/>
          <w:color w:val="000000"/>
        </w:rPr>
        <w:t xml:space="preserve">July </w:t>
      </w:r>
      <w:r w:rsidR="00FD1EEE">
        <w:rPr>
          <w:rFonts w:eastAsia="Calibri" w:cs="Calibri"/>
          <w:color w:val="000000"/>
        </w:rPr>
        <w:t>1 – June 30) on the administrative job</w:t>
      </w:r>
      <w:r w:rsidRPr="00B2708C">
        <w:rPr>
          <w:rFonts w:eastAsia="Calibri" w:cs="Calibri"/>
          <w:color w:val="000000"/>
        </w:rPr>
        <w:t xml:space="preserve"> code 1096 (Department Chairperson) or 1095 (Acting/Interim Department Chair). </w:t>
      </w:r>
      <w:bookmarkStart w:id="0" w:name="_GoBack"/>
      <w:bookmarkEnd w:id="0"/>
      <w:r w:rsidRPr="00B2708C">
        <w:rPr>
          <w:rFonts w:eastAsia="Calibri" w:cs="Calibri"/>
          <w:color w:val="000000"/>
        </w:rPr>
        <w:t xml:space="preserve">In </w:t>
      </w:r>
      <w:r w:rsidR="00FD1EEE">
        <w:rPr>
          <w:rFonts w:eastAsia="Calibri" w:cs="Calibri"/>
          <w:color w:val="000000"/>
        </w:rPr>
        <w:t>UCPath</w:t>
      </w:r>
      <w:r w:rsidRPr="00B2708C">
        <w:rPr>
          <w:rFonts w:eastAsia="Calibri" w:cs="Calibri"/>
          <w:color w:val="000000"/>
        </w:rPr>
        <w:t xml:space="preserve"> entry, department chair stipends should reflect </w:t>
      </w:r>
      <w:r w:rsidR="00FD1EEE">
        <w:rPr>
          <w:rFonts w:eastAsia="Calibri" w:cs="Calibri"/>
          <w:color w:val="000000"/>
        </w:rPr>
        <w:t>a monthly</w:t>
      </w:r>
      <w:r w:rsidRPr="00B2708C">
        <w:rPr>
          <w:rFonts w:eastAsia="Calibri" w:cs="Calibri"/>
          <w:color w:val="000000"/>
        </w:rPr>
        <w:t xml:space="preserve"> stipend rate and the </w:t>
      </w:r>
      <w:r w:rsidR="00FD1EEE">
        <w:rPr>
          <w:rFonts w:eastAsia="Calibri" w:cs="Calibri"/>
          <w:color w:val="000000"/>
        </w:rPr>
        <w:t>Earn</w:t>
      </w:r>
      <w:r w:rsidR="00FD1EEE" w:rsidRPr="00B2708C">
        <w:rPr>
          <w:rFonts w:eastAsia="Calibri" w:cs="Calibri"/>
          <w:color w:val="000000"/>
        </w:rPr>
        <w:t xml:space="preserve"> </w:t>
      </w:r>
      <w:r w:rsidRPr="00B2708C">
        <w:rPr>
          <w:rFonts w:eastAsia="Calibri" w:cs="Calibri"/>
          <w:color w:val="000000"/>
        </w:rPr>
        <w:t>code “STP</w:t>
      </w:r>
      <w:r w:rsidR="00FD1EEE">
        <w:rPr>
          <w:rFonts w:eastAsia="Calibri" w:cs="Calibri"/>
          <w:color w:val="000000"/>
        </w:rPr>
        <w:t>.</w:t>
      </w:r>
      <w:r w:rsidRPr="00B2708C">
        <w:rPr>
          <w:rFonts w:eastAsia="Calibri" w:cs="Calibri"/>
          <w:color w:val="000000"/>
        </w:rPr>
        <w:t xml:space="preserve">” Stipends are </w:t>
      </w:r>
      <w:r w:rsidRPr="00B2708C">
        <w:rPr>
          <w:rFonts w:eastAsia="Calibri" w:cs="Calibri"/>
          <w:color w:val="000000"/>
          <w:u w:val="single" w:color="000000"/>
        </w:rPr>
        <w:t>not</w:t>
      </w:r>
      <w:r w:rsidRPr="00B2708C">
        <w:rPr>
          <w:rFonts w:eastAsia="Calibri" w:cs="Calibri"/>
          <w:color w:val="000000"/>
        </w:rPr>
        <w:t xml:space="preserve"> subject to range adjustment. </w:t>
      </w:r>
    </w:p>
    <w:p w14:paraId="57D1B956" w14:textId="77777777" w:rsidR="00B2708C" w:rsidRPr="00B2708C" w:rsidRDefault="00B2708C" w:rsidP="00B2708C">
      <w:pPr>
        <w:spacing w:after="59" w:line="259" w:lineRule="auto"/>
        <w:rPr>
          <w:rFonts w:eastAsia="Calibri" w:cs="Calibri"/>
          <w:color w:val="000000"/>
        </w:rPr>
      </w:pPr>
      <w:r w:rsidRPr="00B2708C">
        <w:rPr>
          <w:rFonts w:eastAsia="Calibri" w:cs="Calibri"/>
          <w:color w:val="000000"/>
        </w:rPr>
        <w:t xml:space="preserve"> </w:t>
      </w:r>
    </w:p>
    <w:p w14:paraId="23BFED83" w14:textId="77777777" w:rsidR="00B2708C" w:rsidRPr="00E225BC" w:rsidRDefault="00B2708C" w:rsidP="00E225BC">
      <w:pPr>
        <w:pStyle w:val="Heading2"/>
        <w:rPr>
          <w:rFonts w:eastAsia="Calibri"/>
          <w:u w:val="single"/>
        </w:rPr>
      </w:pPr>
      <w:r w:rsidRPr="00E225BC">
        <w:rPr>
          <w:rFonts w:eastAsia="Calibri"/>
          <w:u w:val="single"/>
        </w:rPr>
        <w:lastRenderedPageBreak/>
        <w:t>Summer Salary</w:t>
      </w:r>
    </w:p>
    <w:p w14:paraId="15078931" w14:textId="124E50B1" w:rsidR="00B2708C" w:rsidRPr="00B2708C" w:rsidRDefault="00B2708C" w:rsidP="00B2708C">
      <w:pPr>
        <w:spacing w:after="5" w:line="250" w:lineRule="auto"/>
        <w:ind w:left="20" w:hanging="10"/>
        <w:jc w:val="both"/>
        <w:rPr>
          <w:rFonts w:eastAsia="Calibri" w:cs="Calibri"/>
          <w:color w:val="000000"/>
        </w:rPr>
      </w:pPr>
      <w:r w:rsidRPr="00B2708C">
        <w:rPr>
          <w:rFonts w:eastAsia="Calibri" w:cs="Calibri"/>
          <w:color w:val="000000"/>
        </w:rPr>
        <w:t xml:space="preserve">Summer salary for administrative service is compensated with summer differential payments (DIF </w:t>
      </w:r>
      <w:r w:rsidR="00FD1EEE">
        <w:rPr>
          <w:rFonts w:eastAsia="Calibri" w:cs="Calibri"/>
          <w:color w:val="000000"/>
        </w:rPr>
        <w:t>Earn</w:t>
      </w:r>
      <w:r w:rsidR="00FD1EEE" w:rsidRPr="00B2708C">
        <w:rPr>
          <w:rFonts w:eastAsia="Calibri" w:cs="Calibri"/>
          <w:color w:val="000000"/>
        </w:rPr>
        <w:t xml:space="preserve"> </w:t>
      </w:r>
      <w:r w:rsidR="00E225BC">
        <w:rPr>
          <w:rFonts w:eastAsia="Calibri" w:cs="Calibri"/>
          <w:color w:val="000000"/>
        </w:rPr>
        <w:t xml:space="preserve">code). </w:t>
      </w:r>
      <w:r w:rsidRPr="00B2708C">
        <w:rPr>
          <w:rFonts w:eastAsia="Calibri" w:cs="Calibri"/>
          <w:color w:val="000000"/>
        </w:rPr>
        <w:t>These payments are classified as covered compensation, and count toward the calculation of the highest average paid compensation (HAPC) for retirement purposes.</w:t>
      </w:r>
      <w:r w:rsidR="00E225BC">
        <w:rPr>
          <w:rFonts w:eastAsia="Calibri" w:cs="Calibri"/>
          <w:color w:val="000000"/>
        </w:rPr>
        <w:t xml:space="preserve"> </w:t>
      </w:r>
      <w:r w:rsidRPr="00B2708C">
        <w:rPr>
          <w:rFonts w:eastAsia="Calibri" w:cs="Calibri"/>
          <w:color w:val="000000"/>
        </w:rPr>
        <w:t xml:space="preserve">Total summer salary, when combined with summer salary earned from other sources such as extramural awards or summer session compensation, may </w:t>
      </w:r>
      <w:r w:rsidRPr="00B2708C">
        <w:rPr>
          <w:rFonts w:eastAsia="Calibri" w:cs="Calibri"/>
          <w:color w:val="000000"/>
          <w:u w:val="single" w:color="000000"/>
        </w:rPr>
        <w:t>not</w:t>
      </w:r>
      <w:r w:rsidRPr="00B2708C">
        <w:rPr>
          <w:rFonts w:eastAsia="Calibri" w:cs="Calibri"/>
          <w:color w:val="000000"/>
        </w:rPr>
        <w:t xml:space="preserve"> exceed 3/9 of a faculty member’s academic-year salary.   </w:t>
      </w:r>
    </w:p>
    <w:p w14:paraId="5D26E508" w14:textId="77777777" w:rsidR="00B2708C" w:rsidRPr="00B2708C" w:rsidRDefault="00B2708C" w:rsidP="00B2708C">
      <w:pPr>
        <w:spacing w:after="0" w:line="259" w:lineRule="auto"/>
        <w:ind w:left="360"/>
        <w:rPr>
          <w:rFonts w:eastAsia="Calibri" w:cs="Calibri"/>
          <w:color w:val="000000"/>
        </w:rPr>
      </w:pPr>
      <w:r w:rsidRPr="00B2708C">
        <w:rPr>
          <w:rFonts w:eastAsia="Calibri" w:cs="Calibri"/>
          <w:color w:val="000000"/>
        </w:rPr>
        <w:t xml:space="preserve"> </w:t>
      </w:r>
    </w:p>
    <w:p w14:paraId="382D41A4" w14:textId="77777777" w:rsidR="00B2708C" w:rsidRPr="00B2708C" w:rsidRDefault="00B2708C" w:rsidP="00B2708C">
      <w:pPr>
        <w:spacing w:after="118" w:line="250" w:lineRule="auto"/>
        <w:ind w:left="10" w:hanging="10"/>
        <w:rPr>
          <w:rFonts w:eastAsia="Calibri" w:cs="Calibri"/>
          <w:color w:val="000000"/>
        </w:rPr>
      </w:pPr>
      <w:r w:rsidRPr="00B2708C">
        <w:rPr>
          <w:rFonts w:eastAsia="Calibri" w:cs="Calibri"/>
          <w:color w:val="000000"/>
        </w:rPr>
        <w:t xml:space="preserve">Please send an email to </w:t>
      </w:r>
      <w:hyperlink r:id="rId8" w:history="1">
        <w:r w:rsidR="00FD1EEE" w:rsidRPr="00FD1EEE">
          <w:rPr>
            <w:rStyle w:val="Hyperlink"/>
            <w:rFonts w:eastAsia="Calibri" w:cs="Calibri"/>
          </w:rPr>
          <w:t>academicpersonnel@ucr.edu</w:t>
        </w:r>
      </w:hyperlink>
      <w:r w:rsidR="00FD1EEE">
        <w:rPr>
          <w:rFonts w:eastAsia="Calibri" w:cs="Calibri"/>
          <w:color w:val="000000"/>
        </w:rPr>
        <w:t xml:space="preserve"> </w:t>
      </w:r>
      <w:r w:rsidRPr="00B2708C">
        <w:rPr>
          <w:rFonts w:eastAsia="Calibri" w:cs="Calibri"/>
          <w:color w:val="000000"/>
        </w:rPr>
        <w:t xml:space="preserve">with questions regarding these guidelines.  </w:t>
      </w:r>
    </w:p>
    <w:p w14:paraId="0ABE8D28" w14:textId="77777777" w:rsidR="00B2708C" w:rsidRPr="00B2708C" w:rsidRDefault="00B2708C" w:rsidP="00AC3D65">
      <w:pPr>
        <w:spacing w:after="0" w:line="240" w:lineRule="auto"/>
        <w:rPr>
          <w:rFonts w:eastAsia="Times New Roman" w:cs="Times New Roman"/>
          <w:b/>
          <w:bCs/>
          <w:color w:val="1F497D"/>
        </w:rPr>
      </w:pPr>
    </w:p>
    <w:p w14:paraId="4B39F2E0" w14:textId="77777777" w:rsidR="00B2708C" w:rsidRPr="00B2708C" w:rsidRDefault="00B2708C" w:rsidP="00B2708C">
      <w:pPr>
        <w:rPr>
          <w:rFonts w:eastAsia="Times New Roman" w:cs="Times New Roman"/>
        </w:rPr>
      </w:pPr>
    </w:p>
    <w:p w14:paraId="09274FD3" w14:textId="77777777" w:rsidR="00B2708C" w:rsidRPr="00B2708C" w:rsidRDefault="00B2708C" w:rsidP="00B2708C">
      <w:pPr>
        <w:rPr>
          <w:rFonts w:eastAsia="Times New Roman" w:cs="Times New Roman"/>
        </w:rPr>
      </w:pPr>
    </w:p>
    <w:p w14:paraId="442DF9F7" w14:textId="77777777" w:rsidR="00B2708C" w:rsidRPr="00B2708C" w:rsidRDefault="00B2708C" w:rsidP="00B2708C">
      <w:pPr>
        <w:rPr>
          <w:rFonts w:eastAsia="Times New Roman" w:cs="Times New Roman"/>
        </w:rPr>
      </w:pPr>
    </w:p>
    <w:p w14:paraId="32DB47EE" w14:textId="77777777" w:rsidR="00B2708C" w:rsidRPr="00B2708C" w:rsidRDefault="00B2708C" w:rsidP="00B2708C">
      <w:pPr>
        <w:rPr>
          <w:rFonts w:eastAsia="Times New Roman" w:cs="Times New Roman"/>
        </w:rPr>
      </w:pPr>
    </w:p>
    <w:p w14:paraId="21634F14" w14:textId="77777777" w:rsidR="00B2708C" w:rsidRPr="00B2708C" w:rsidRDefault="00B2708C" w:rsidP="00B2708C">
      <w:pPr>
        <w:rPr>
          <w:rFonts w:eastAsia="Times New Roman" w:cs="Times New Roman"/>
        </w:rPr>
      </w:pPr>
    </w:p>
    <w:p w14:paraId="79DD6F07" w14:textId="77777777" w:rsidR="00B2708C" w:rsidRPr="00B2708C" w:rsidRDefault="00B2708C" w:rsidP="00B2708C">
      <w:pPr>
        <w:rPr>
          <w:rFonts w:eastAsia="Times New Roman" w:cs="Times New Roman"/>
        </w:rPr>
      </w:pPr>
    </w:p>
    <w:p w14:paraId="3EF96BA9" w14:textId="77777777" w:rsidR="00B2708C" w:rsidRPr="00B2708C" w:rsidRDefault="00B2708C" w:rsidP="00B2708C">
      <w:pPr>
        <w:rPr>
          <w:rFonts w:eastAsia="Times New Roman" w:cs="Times New Roman"/>
        </w:rPr>
      </w:pPr>
    </w:p>
    <w:p w14:paraId="01A3FFA6" w14:textId="77777777" w:rsidR="00B2708C" w:rsidRPr="00B2708C" w:rsidRDefault="00B2708C" w:rsidP="00B2708C">
      <w:pPr>
        <w:rPr>
          <w:rFonts w:eastAsia="Times New Roman" w:cs="Times New Roman"/>
        </w:rPr>
      </w:pPr>
    </w:p>
    <w:p w14:paraId="0B934133" w14:textId="77777777" w:rsidR="00B2708C" w:rsidRPr="00B2708C" w:rsidRDefault="00B2708C" w:rsidP="00B2708C">
      <w:pPr>
        <w:rPr>
          <w:rFonts w:eastAsia="Times New Roman" w:cs="Times New Roman"/>
        </w:rPr>
      </w:pPr>
    </w:p>
    <w:p w14:paraId="2B38F65B" w14:textId="77777777" w:rsidR="00B2708C" w:rsidRPr="00B2708C" w:rsidRDefault="00B2708C" w:rsidP="00B2708C">
      <w:pPr>
        <w:rPr>
          <w:rFonts w:eastAsia="Times New Roman" w:cs="Times New Roman"/>
        </w:rPr>
      </w:pPr>
    </w:p>
    <w:p w14:paraId="434FC235" w14:textId="77777777" w:rsidR="009F085B" w:rsidRPr="00B2708C" w:rsidRDefault="00B2708C" w:rsidP="00B2708C">
      <w:pPr>
        <w:tabs>
          <w:tab w:val="left" w:pos="1080"/>
        </w:tabs>
        <w:rPr>
          <w:rFonts w:eastAsia="Times New Roman" w:cs="Times New Roman"/>
        </w:rPr>
      </w:pPr>
      <w:r w:rsidRPr="00B2708C">
        <w:rPr>
          <w:rFonts w:eastAsia="Times New Roman" w:cs="Times New Roman"/>
        </w:rPr>
        <w:tab/>
      </w:r>
    </w:p>
    <w:sectPr w:rsidR="009F085B" w:rsidRPr="00B2708C" w:rsidSect="00E225BC">
      <w:headerReference w:type="default" r:id="rId9"/>
      <w:footerReference w:type="default" r:id="rId10"/>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E7DB" w14:textId="77777777" w:rsidR="00333884" w:rsidRDefault="00333884" w:rsidP="00402054">
      <w:pPr>
        <w:spacing w:after="0" w:line="240" w:lineRule="auto"/>
      </w:pPr>
      <w:r>
        <w:separator/>
      </w:r>
    </w:p>
  </w:endnote>
  <w:endnote w:type="continuationSeparator" w:id="0">
    <w:p w14:paraId="4A2161D8" w14:textId="77777777" w:rsidR="00333884" w:rsidRDefault="00333884"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B8F7" w14:textId="41B15647" w:rsidR="00402054" w:rsidRPr="00402054" w:rsidRDefault="00B2708C">
    <w:pPr>
      <w:pStyle w:val="Footer"/>
      <w:rPr>
        <w:sz w:val="16"/>
        <w:szCs w:val="16"/>
      </w:rPr>
    </w:pPr>
    <w:r w:rsidRPr="00B2708C">
      <w:rPr>
        <w:i/>
        <w:sz w:val="16"/>
        <w:szCs w:val="16"/>
      </w:rPr>
      <w:t>APO: su; ct</w:t>
    </w:r>
    <w:r w:rsidR="00293087">
      <w:rPr>
        <w:sz w:val="16"/>
        <w:szCs w:val="16"/>
      </w:rPr>
      <w:tab/>
    </w:r>
    <w:r w:rsidR="00293087">
      <w:rPr>
        <w:sz w:val="16"/>
        <w:szCs w:val="16"/>
      </w:rPr>
      <w:tab/>
    </w:r>
    <w:sdt>
      <w:sdtPr>
        <w:rPr>
          <w:sz w:val="16"/>
          <w:szCs w:val="16"/>
        </w:rPr>
        <w:id w:val="1017967844"/>
        <w:docPartObj>
          <w:docPartGallery w:val="Page Numbers (Bottom of Page)"/>
          <w:docPartUnique/>
        </w:docPartObj>
      </w:sdtPr>
      <w:sdtEndPr/>
      <w:sdtContent>
        <w:sdt>
          <w:sdtPr>
            <w:rPr>
              <w:sz w:val="16"/>
              <w:szCs w:val="16"/>
            </w:rPr>
            <w:id w:val="1115796384"/>
            <w:docPartObj>
              <w:docPartGallery w:val="Page Numbers (Top of Page)"/>
              <w:docPartUnique/>
            </w:docPartObj>
          </w:sdtPr>
          <w:sdtEndPr/>
          <w:sdtContent>
            <w:r w:rsidR="00402054" w:rsidRPr="00402054">
              <w:rPr>
                <w:sz w:val="16"/>
                <w:szCs w:val="16"/>
              </w:rPr>
              <w:t xml:space="preserve">Page </w:t>
            </w:r>
            <w:r w:rsidR="00402054" w:rsidRPr="00402054">
              <w:rPr>
                <w:b/>
                <w:bCs/>
                <w:sz w:val="16"/>
                <w:szCs w:val="16"/>
              </w:rPr>
              <w:fldChar w:fldCharType="begin"/>
            </w:r>
            <w:r w:rsidR="00402054" w:rsidRPr="00402054">
              <w:rPr>
                <w:b/>
                <w:bCs/>
                <w:sz w:val="16"/>
                <w:szCs w:val="16"/>
              </w:rPr>
              <w:instrText xml:space="preserve"> PAGE </w:instrText>
            </w:r>
            <w:r w:rsidR="00402054" w:rsidRPr="00402054">
              <w:rPr>
                <w:b/>
                <w:bCs/>
                <w:sz w:val="16"/>
                <w:szCs w:val="16"/>
              </w:rPr>
              <w:fldChar w:fldCharType="separate"/>
            </w:r>
            <w:r w:rsidR="00E225BC">
              <w:rPr>
                <w:b/>
                <w:bCs/>
                <w:noProof/>
                <w:sz w:val="16"/>
                <w:szCs w:val="16"/>
              </w:rPr>
              <w:t>1</w:t>
            </w:r>
            <w:r w:rsidR="00402054" w:rsidRPr="00402054">
              <w:rPr>
                <w:b/>
                <w:bCs/>
                <w:sz w:val="16"/>
                <w:szCs w:val="16"/>
              </w:rPr>
              <w:fldChar w:fldCharType="end"/>
            </w:r>
            <w:r w:rsidR="00402054" w:rsidRPr="00402054">
              <w:rPr>
                <w:sz w:val="16"/>
                <w:szCs w:val="16"/>
              </w:rPr>
              <w:t xml:space="preserve"> of </w:t>
            </w:r>
            <w:r w:rsidR="00402054" w:rsidRPr="00402054">
              <w:rPr>
                <w:b/>
                <w:bCs/>
                <w:sz w:val="16"/>
                <w:szCs w:val="16"/>
              </w:rPr>
              <w:fldChar w:fldCharType="begin"/>
            </w:r>
            <w:r w:rsidR="00402054" w:rsidRPr="00402054">
              <w:rPr>
                <w:b/>
                <w:bCs/>
                <w:sz w:val="16"/>
                <w:szCs w:val="16"/>
              </w:rPr>
              <w:instrText xml:space="preserve"> NUMPAGES  </w:instrText>
            </w:r>
            <w:r w:rsidR="00402054" w:rsidRPr="00402054">
              <w:rPr>
                <w:b/>
                <w:bCs/>
                <w:sz w:val="16"/>
                <w:szCs w:val="16"/>
              </w:rPr>
              <w:fldChar w:fldCharType="separate"/>
            </w:r>
            <w:r w:rsidR="00E225BC">
              <w:rPr>
                <w:b/>
                <w:bCs/>
                <w:noProof/>
                <w:sz w:val="16"/>
                <w:szCs w:val="16"/>
              </w:rPr>
              <w:t>2</w:t>
            </w:r>
            <w:r w:rsidR="00402054" w:rsidRPr="00402054">
              <w:rPr>
                <w:b/>
                <w:bCs/>
                <w:sz w:val="16"/>
                <w:szCs w:val="16"/>
              </w:rPr>
              <w:fldChar w:fldCharType="end"/>
            </w:r>
          </w:sdtContent>
        </w:sdt>
      </w:sdtContent>
    </w:sdt>
  </w:p>
  <w:p w14:paraId="6B44A216" w14:textId="77777777" w:rsidR="00402054" w:rsidRDefault="0040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08ECC" w14:textId="77777777" w:rsidR="00333884" w:rsidRDefault="00333884" w:rsidP="00402054">
      <w:pPr>
        <w:spacing w:after="0" w:line="240" w:lineRule="auto"/>
      </w:pPr>
      <w:r>
        <w:separator/>
      </w:r>
    </w:p>
  </w:footnote>
  <w:footnote w:type="continuationSeparator" w:id="0">
    <w:p w14:paraId="73618F86" w14:textId="77777777" w:rsidR="00333884" w:rsidRDefault="00333884"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EB2E" w14:textId="77777777" w:rsidR="003E2E50" w:rsidRPr="003E2E50" w:rsidRDefault="00293087" w:rsidP="003E2E50">
    <w:pPr>
      <w:tabs>
        <w:tab w:val="center" w:pos="4680"/>
        <w:tab w:val="right" w:pos="9360"/>
      </w:tabs>
      <w:spacing w:after="0" w:line="240" w:lineRule="auto"/>
      <w:jc w:val="right"/>
      <w:rPr>
        <w:rFonts w:ascii="Calibri" w:hAnsi="Calibri"/>
        <w:caps/>
        <w:color w:val="2D6CC0"/>
        <w:sz w:val="24"/>
        <w:szCs w:val="24"/>
      </w:rPr>
    </w:pPr>
    <w:r w:rsidRPr="006471F5">
      <w:rPr>
        <w:b/>
        <w:noProof/>
      </w:rPr>
      <w:drawing>
        <wp:anchor distT="0" distB="0" distL="114300" distR="114300" simplePos="0" relativeHeight="251679744" behindDoc="0" locked="0" layoutInCell="1" allowOverlap="1" wp14:anchorId="13F52E44" wp14:editId="3FFCAAF7">
          <wp:simplePos x="0" y="0"/>
          <wp:positionH relativeFrom="margin">
            <wp:align>left</wp:align>
          </wp:positionH>
          <wp:positionV relativeFrom="paragraph">
            <wp:posOffset>152400</wp:posOffset>
          </wp:positionV>
          <wp:extent cx="2458085" cy="3213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321310"/>
                  </a:xfrm>
                  <a:prstGeom prst="rect">
                    <a:avLst/>
                  </a:prstGeom>
                  <a:noFill/>
                </pic:spPr>
              </pic:pic>
            </a:graphicData>
          </a:graphic>
          <wp14:sizeRelH relativeFrom="page">
            <wp14:pctWidth>0</wp14:pctWidth>
          </wp14:sizeRelH>
          <wp14:sizeRelV relativeFrom="page">
            <wp14:pctHeight>0</wp14:pctHeight>
          </wp14:sizeRelV>
        </wp:anchor>
      </w:drawing>
    </w:r>
    <w:r w:rsidR="003E2E50" w:rsidRPr="003E2E50">
      <w:rPr>
        <w:rFonts w:ascii="Calibri" w:hAnsi="Calibri"/>
        <w:caps/>
        <w:color w:val="2D6CC0"/>
        <w:sz w:val="24"/>
        <w:szCs w:val="24"/>
      </w:rPr>
      <w:t xml:space="preserve"> </w:t>
    </w:r>
    <w:sdt>
      <w:sdtPr>
        <w:rPr>
          <w:rFonts w:ascii="Calibri" w:hAnsi="Calibri"/>
          <w:b/>
          <w:caps/>
          <w:color w:val="2D6CC0"/>
          <w:sz w:val="24"/>
          <w:szCs w:val="24"/>
        </w:rPr>
        <w:alias w:val="Title"/>
        <w:tag w:val=""/>
        <w:id w:val="701062548"/>
        <w:dataBinding w:prefixMappings="xmlns:ns0='http://purl.org/dc/elements/1.1/' xmlns:ns1='http://schemas.openxmlformats.org/package/2006/metadata/core-properties' " w:xpath="/ns1:coreProperties[1]/ns0:title[1]" w:storeItemID="{6C3C8BC8-F283-45AE-878A-BAB7291924A1}"/>
        <w:text/>
      </w:sdtPr>
      <w:sdtEndPr/>
      <w:sdtContent>
        <w:r w:rsidR="00B2708C">
          <w:rPr>
            <w:rFonts w:ascii="Calibri" w:hAnsi="Calibri"/>
            <w:b/>
            <w:caps/>
            <w:color w:val="2D6CC0"/>
            <w:sz w:val="24"/>
            <w:szCs w:val="24"/>
          </w:rPr>
          <w:t>Guidelines for Department Chair     Compensation Package</w:t>
        </w:r>
      </w:sdtContent>
    </w:sdt>
  </w:p>
  <w:p w14:paraId="0E6E306F" w14:textId="77777777" w:rsidR="003E2E50" w:rsidRPr="003E2E50" w:rsidRDefault="003E2E50" w:rsidP="003E2E50">
    <w:pPr>
      <w:tabs>
        <w:tab w:val="center" w:pos="4680"/>
        <w:tab w:val="right" w:pos="9360"/>
      </w:tabs>
      <w:spacing w:after="0" w:line="240" w:lineRule="auto"/>
      <w:jc w:val="right"/>
      <w:rPr>
        <w:rFonts w:ascii="Calibri" w:hAnsi="Calibri"/>
        <w:color w:val="7A6E67"/>
        <w:sz w:val="20"/>
        <w:szCs w:val="20"/>
      </w:rPr>
    </w:pPr>
    <w:r w:rsidRPr="003E2E50">
      <w:rPr>
        <w:rFonts w:ascii="Calibri" w:hAnsi="Calibri"/>
        <w:color w:val="2D6CC0"/>
        <w:sz w:val="24"/>
        <w:szCs w:val="24"/>
      </w:rPr>
      <w:tab/>
    </w:r>
    <w:r w:rsidRPr="003E2E50">
      <w:rPr>
        <w:rFonts w:ascii="Calibri" w:hAnsi="Calibri"/>
        <w:color w:val="7A6E67"/>
        <w:sz w:val="20"/>
        <w:szCs w:val="20"/>
      </w:rPr>
      <w:t xml:space="preserve">Creation Date: </w:t>
    </w:r>
    <w:r w:rsidR="00B2708C">
      <w:rPr>
        <w:rFonts w:ascii="Calibri" w:hAnsi="Calibri"/>
        <w:color w:val="7A6E67"/>
        <w:sz w:val="20"/>
        <w:szCs w:val="20"/>
      </w:rPr>
      <w:t>05/20/15</w:t>
    </w:r>
  </w:p>
  <w:p w14:paraId="3444DB4E" w14:textId="77777777" w:rsidR="003E2E50" w:rsidRPr="003E2E50" w:rsidRDefault="003E2E50" w:rsidP="003E2E50">
    <w:pPr>
      <w:tabs>
        <w:tab w:val="center" w:pos="4680"/>
        <w:tab w:val="right" w:pos="9360"/>
      </w:tabs>
      <w:spacing w:after="0" w:line="240" w:lineRule="auto"/>
      <w:jc w:val="right"/>
      <w:rPr>
        <w:rFonts w:ascii="Calibri" w:hAnsi="Calibri"/>
        <w:color w:val="7A6E67"/>
        <w:sz w:val="20"/>
        <w:szCs w:val="20"/>
      </w:rPr>
    </w:pPr>
    <w:r w:rsidRPr="003E2E50">
      <w:rPr>
        <w:rFonts w:ascii="Calibri" w:hAnsi="Calibri"/>
        <w:color w:val="7A6E67"/>
        <w:sz w:val="20"/>
        <w:szCs w:val="20"/>
      </w:rPr>
      <w:t>Revision Date</w:t>
    </w:r>
    <w:r w:rsidR="00B2708C">
      <w:rPr>
        <w:rFonts w:ascii="Calibri" w:hAnsi="Calibri"/>
        <w:color w:val="7A6E67"/>
        <w:sz w:val="20"/>
        <w:szCs w:val="20"/>
      </w:rPr>
      <w:t>:  05/01/19</w:t>
    </w:r>
  </w:p>
  <w:p w14:paraId="509E1607" w14:textId="77777777" w:rsidR="003E2E50" w:rsidRPr="003E2E50" w:rsidRDefault="003E2E50" w:rsidP="00B2708C">
    <w:pPr>
      <w:pBdr>
        <w:bottom w:val="single" w:sz="12" w:space="1" w:color="5B9BD5"/>
      </w:pBdr>
      <w:tabs>
        <w:tab w:val="center" w:pos="4680"/>
        <w:tab w:val="right" w:pos="9360"/>
      </w:tabs>
      <w:spacing w:after="0" w:line="240" w:lineRule="auto"/>
      <w:rPr>
        <w:sz w:val="20"/>
        <w:szCs w:val="20"/>
      </w:rPr>
    </w:pPr>
  </w:p>
  <w:p w14:paraId="5BBFEA73" w14:textId="77777777" w:rsidR="00C0780B" w:rsidRDefault="00C0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44A03"/>
    <w:multiLevelType w:val="hybridMultilevel"/>
    <w:tmpl w:val="2BDACEEC"/>
    <w:lvl w:ilvl="0" w:tplc="B9BA860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808E14">
      <w:start w:val="1"/>
      <w:numFmt w:val="bullet"/>
      <w:lvlText w:val="o"/>
      <w:lvlJc w:val="left"/>
      <w:pPr>
        <w:ind w:left="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507288">
      <w:start w:val="1"/>
      <w:numFmt w:val="bullet"/>
      <w:lvlText w:val="▪"/>
      <w:lvlJc w:val="left"/>
      <w:pPr>
        <w:ind w:left="1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34D672">
      <w:start w:val="1"/>
      <w:numFmt w:val="bullet"/>
      <w:lvlText w:val="•"/>
      <w:lvlJc w:val="left"/>
      <w:pPr>
        <w:ind w:left="2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82612">
      <w:start w:val="1"/>
      <w:numFmt w:val="bullet"/>
      <w:lvlText w:val="o"/>
      <w:lvlJc w:val="left"/>
      <w:pPr>
        <w:ind w:left="2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16E822">
      <w:start w:val="1"/>
      <w:numFmt w:val="bullet"/>
      <w:lvlText w:val="▪"/>
      <w:lvlJc w:val="left"/>
      <w:pPr>
        <w:ind w:left="3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A237D6">
      <w:start w:val="1"/>
      <w:numFmt w:val="bullet"/>
      <w:lvlText w:val="•"/>
      <w:lvlJc w:val="left"/>
      <w:pPr>
        <w:ind w:left="4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D865F6">
      <w:start w:val="1"/>
      <w:numFmt w:val="bullet"/>
      <w:lvlText w:val="o"/>
      <w:lvlJc w:val="left"/>
      <w:pPr>
        <w:ind w:left="5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5A2606">
      <w:start w:val="1"/>
      <w:numFmt w:val="bullet"/>
      <w:lvlText w:val="▪"/>
      <w:lvlJc w:val="left"/>
      <w:pPr>
        <w:ind w:left="5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46C4B"/>
    <w:multiLevelType w:val="hybridMultilevel"/>
    <w:tmpl w:val="12D8314C"/>
    <w:lvl w:ilvl="0" w:tplc="B9BA8608">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24"/>
  </w:num>
  <w:num w:numId="4">
    <w:abstractNumId w:val="19"/>
  </w:num>
  <w:num w:numId="5">
    <w:abstractNumId w:val="4"/>
  </w:num>
  <w:num w:numId="6">
    <w:abstractNumId w:val="27"/>
  </w:num>
  <w:num w:numId="7">
    <w:abstractNumId w:val="14"/>
  </w:num>
  <w:num w:numId="8">
    <w:abstractNumId w:val="0"/>
  </w:num>
  <w:num w:numId="9">
    <w:abstractNumId w:val="12"/>
  </w:num>
  <w:num w:numId="10">
    <w:abstractNumId w:val="16"/>
  </w:num>
  <w:num w:numId="11">
    <w:abstractNumId w:val="2"/>
  </w:num>
  <w:num w:numId="12">
    <w:abstractNumId w:val="32"/>
  </w:num>
  <w:num w:numId="13">
    <w:abstractNumId w:val="1"/>
  </w:num>
  <w:num w:numId="14">
    <w:abstractNumId w:val="30"/>
  </w:num>
  <w:num w:numId="15">
    <w:abstractNumId w:val="3"/>
  </w:num>
  <w:num w:numId="16">
    <w:abstractNumId w:val="10"/>
  </w:num>
  <w:num w:numId="17">
    <w:abstractNumId w:val="28"/>
  </w:num>
  <w:num w:numId="18">
    <w:abstractNumId w:val="17"/>
  </w:num>
  <w:num w:numId="19">
    <w:abstractNumId w:val="8"/>
  </w:num>
  <w:num w:numId="20">
    <w:abstractNumId w:val="29"/>
  </w:num>
  <w:num w:numId="21">
    <w:abstractNumId w:val="18"/>
  </w:num>
  <w:num w:numId="22">
    <w:abstractNumId w:val="11"/>
  </w:num>
  <w:num w:numId="23">
    <w:abstractNumId w:val="15"/>
  </w:num>
  <w:num w:numId="24">
    <w:abstractNumId w:val="5"/>
  </w:num>
  <w:num w:numId="25">
    <w:abstractNumId w:val="31"/>
  </w:num>
  <w:num w:numId="26">
    <w:abstractNumId w:val="23"/>
  </w:num>
  <w:num w:numId="27">
    <w:abstractNumId w:val="13"/>
  </w:num>
  <w:num w:numId="28">
    <w:abstractNumId w:val="26"/>
  </w:num>
  <w:num w:numId="29">
    <w:abstractNumId w:val="9"/>
  </w:num>
  <w:num w:numId="30">
    <w:abstractNumId w:val="33"/>
  </w:num>
  <w:num w:numId="31">
    <w:abstractNumId w:val="22"/>
  </w:num>
  <w:num w:numId="32">
    <w:abstractNumId w:val="34"/>
  </w:num>
  <w:num w:numId="33">
    <w:abstractNumId w:val="20"/>
  </w:num>
  <w:num w:numId="34">
    <w:abstractNumId w:val="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20FF1"/>
    <w:rsid w:val="000A7BDD"/>
    <w:rsid w:val="00143B99"/>
    <w:rsid w:val="00154C23"/>
    <w:rsid w:val="00164AEC"/>
    <w:rsid w:val="001B2E20"/>
    <w:rsid w:val="001D3076"/>
    <w:rsid w:val="00282792"/>
    <w:rsid w:val="00293087"/>
    <w:rsid w:val="002B5D68"/>
    <w:rsid w:val="002D37FE"/>
    <w:rsid w:val="003166D9"/>
    <w:rsid w:val="00332DDC"/>
    <w:rsid w:val="00333884"/>
    <w:rsid w:val="003E2E50"/>
    <w:rsid w:val="00402054"/>
    <w:rsid w:val="00466C18"/>
    <w:rsid w:val="004941B7"/>
    <w:rsid w:val="00506294"/>
    <w:rsid w:val="0059196A"/>
    <w:rsid w:val="00640EAE"/>
    <w:rsid w:val="00646019"/>
    <w:rsid w:val="00684084"/>
    <w:rsid w:val="006F3A50"/>
    <w:rsid w:val="0074172E"/>
    <w:rsid w:val="0079526E"/>
    <w:rsid w:val="007C21A7"/>
    <w:rsid w:val="0081502D"/>
    <w:rsid w:val="00842B6D"/>
    <w:rsid w:val="00845646"/>
    <w:rsid w:val="00863E2C"/>
    <w:rsid w:val="009220B7"/>
    <w:rsid w:val="009F085B"/>
    <w:rsid w:val="00A3022B"/>
    <w:rsid w:val="00AB04EA"/>
    <w:rsid w:val="00AC3D65"/>
    <w:rsid w:val="00B2708C"/>
    <w:rsid w:val="00B43E47"/>
    <w:rsid w:val="00BA2188"/>
    <w:rsid w:val="00BB6103"/>
    <w:rsid w:val="00C0780B"/>
    <w:rsid w:val="00C95410"/>
    <w:rsid w:val="00D313EF"/>
    <w:rsid w:val="00D879D0"/>
    <w:rsid w:val="00DD0329"/>
    <w:rsid w:val="00E225BC"/>
    <w:rsid w:val="00E41C74"/>
    <w:rsid w:val="00EC7894"/>
    <w:rsid w:val="00ED33E6"/>
    <w:rsid w:val="00F117D3"/>
    <w:rsid w:val="00F639E4"/>
    <w:rsid w:val="00F6620D"/>
    <w:rsid w:val="00FD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378B6A"/>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paragraph" w:styleId="Heading2">
    <w:name w:val="heading 2"/>
    <w:basedOn w:val="Normal"/>
    <w:next w:val="Normal"/>
    <w:link w:val="Heading2Char"/>
    <w:uiPriority w:val="9"/>
    <w:unhideWhenUsed/>
    <w:qFormat/>
    <w:rsid w:val="00E225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customStyle="1" w:styleId="TableGrid">
    <w:name w:val="TableGrid"/>
    <w:rsid w:val="00B2708C"/>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D1EEE"/>
    <w:rPr>
      <w:sz w:val="16"/>
      <w:szCs w:val="16"/>
    </w:rPr>
  </w:style>
  <w:style w:type="paragraph" w:styleId="CommentText">
    <w:name w:val="annotation text"/>
    <w:basedOn w:val="Normal"/>
    <w:link w:val="CommentTextChar"/>
    <w:uiPriority w:val="99"/>
    <w:semiHidden/>
    <w:unhideWhenUsed/>
    <w:rsid w:val="00FD1EEE"/>
    <w:pPr>
      <w:spacing w:line="240" w:lineRule="auto"/>
    </w:pPr>
    <w:rPr>
      <w:sz w:val="20"/>
      <w:szCs w:val="20"/>
    </w:rPr>
  </w:style>
  <w:style w:type="character" w:customStyle="1" w:styleId="CommentTextChar">
    <w:name w:val="Comment Text Char"/>
    <w:basedOn w:val="DefaultParagraphFont"/>
    <w:link w:val="CommentText"/>
    <w:uiPriority w:val="99"/>
    <w:semiHidden/>
    <w:rsid w:val="00FD1EEE"/>
    <w:rPr>
      <w:sz w:val="20"/>
      <w:szCs w:val="20"/>
    </w:rPr>
  </w:style>
  <w:style w:type="paragraph" w:styleId="CommentSubject">
    <w:name w:val="annotation subject"/>
    <w:basedOn w:val="CommentText"/>
    <w:next w:val="CommentText"/>
    <w:link w:val="CommentSubjectChar"/>
    <w:uiPriority w:val="99"/>
    <w:semiHidden/>
    <w:unhideWhenUsed/>
    <w:rsid w:val="00FD1EEE"/>
    <w:rPr>
      <w:b/>
      <w:bCs/>
    </w:rPr>
  </w:style>
  <w:style w:type="character" w:customStyle="1" w:styleId="CommentSubjectChar">
    <w:name w:val="Comment Subject Char"/>
    <w:basedOn w:val="CommentTextChar"/>
    <w:link w:val="CommentSubject"/>
    <w:uiPriority w:val="99"/>
    <w:semiHidden/>
    <w:rsid w:val="00FD1EEE"/>
    <w:rPr>
      <w:b/>
      <w:bCs/>
      <w:sz w:val="20"/>
      <w:szCs w:val="20"/>
    </w:rPr>
  </w:style>
  <w:style w:type="paragraph" w:styleId="Revision">
    <w:name w:val="Revision"/>
    <w:hidden/>
    <w:uiPriority w:val="99"/>
    <w:semiHidden/>
    <w:rsid w:val="00E225BC"/>
    <w:pPr>
      <w:spacing w:after="0" w:line="240" w:lineRule="auto"/>
    </w:pPr>
  </w:style>
  <w:style w:type="character" w:customStyle="1" w:styleId="Heading2Char">
    <w:name w:val="Heading 2 Char"/>
    <w:basedOn w:val="DefaultParagraphFont"/>
    <w:link w:val="Heading2"/>
    <w:uiPriority w:val="9"/>
    <w:rsid w:val="00E225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personnel@uc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Guidelines for Department Chair     Compensation Package</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Department Chair     Compensation Package</dc:title>
  <dc:subject>UC Riverside AP Recruit</dc:subject>
  <dc:creator>Academic Personnel Office</dc:creator>
  <cp:lastModifiedBy>Danessa Murdock</cp:lastModifiedBy>
  <cp:revision>5</cp:revision>
  <cp:lastPrinted>2018-08-23T20:18:00Z</cp:lastPrinted>
  <dcterms:created xsi:type="dcterms:W3CDTF">2019-04-30T23:31:00Z</dcterms:created>
  <dcterms:modified xsi:type="dcterms:W3CDTF">2019-05-06T22:53:00Z</dcterms:modified>
</cp:coreProperties>
</file>